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52"/>
        <w:tblW w:w="0" w:type="auto"/>
        <w:tblLook w:val="04A0"/>
      </w:tblPr>
      <w:tblGrid>
        <w:gridCol w:w="7696"/>
        <w:gridCol w:w="3487"/>
        <w:gridCol w:w="3433"/>
      </w:tblGrid>
      <w:tr w:rsidR="00AF7BBF">
        <w:tc>
          <w:tcPr>
            <w:tcW w:w="13176" w:type="dxa"/>
            <w:gridSpan w:val="3"/>
            <w:shd w:val="clear" w:color="auto" w:fill="000000" w:themeFill="text1"/>
          </w:tcPr>
          <w:p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Pr>
                <w:b/>
                <w:color w:val="FFFFFF" w:themeColor="background1"/>
                <w:sz w:val="28"/>
                <w:szCs w:val="28"/>
              </w:rPr>
              <w:t xml:space="preserve"> Unit Template</w:t>
            </w:r>
            <w:r w:rsidR="003A5A2E">
              <w:rPr>
                <w:b/>
                <w:color w:val="FFFFFF" w:themeColor="background1"/>
                <w:sz w:val="28"/>
                <w:szCs w:val="28"/>
              </w:rPr>
              <w:t xml:space="preserve"> *</w:t>
            </w:r>
          </w:p>
        </w:tc>
      </w:tr>
      <w:tr w:rsidR="00AF7BBF">
        <w:tc>
          <w:tcPr>
            <w:tcW w:w="13176" w:type="dxa"/>
            <w:gridSpan w:val="3"/>
            <w:shd w:val="clear" w:color="auto" w:fill="auto"/>
          </w:tcPr>
          <w:p w:rsidR="00AF7BBF" w:rsidRPr="00042DA9" w:rsidRDefault="00AF7BBF" w:rsidP="001C6467">
            <w:pPr>
              <w:rPr>
                <w:color w:val="000000" w:themeColor="text1"/>
                <w:sz w:val="24"/>
                <w:szCs w:val="24"/>
              </w:rPr>
            </w:pPr>
            <w:r w:rsidRPr="00042DA9">
              <w:rPr>
                <w:color w:val="000000" w:themeColor="text1"/>
                <w:sz w:val="24"/>
                <w:szCs w:val="24"/>
              </w:rPr>
              <w:t xml:space="preserve">Prepared by:  </w:t>
            </w:r>
            <w:r w:rsidR="00700459" w:rsidRPr="00042DA9">
              <w:rPr>
                <w:color w:val="000000" w:themeColor="text1"/>
                <w:sz w:val="24"/>
                <w:szCs w:val="24"/>
              </w:rPr>
              <w:t>Fernando Molina</w:t>
            </w:r>
            <w:r w:rsidRPr="00042DA9">
              <w:rPr>
                <w:color w:val="000000" w:themeColor="text1"/>
                <w:sz w:val="24"/>
                <w:szCs w:val="24"/>
              </w:rPr>
              <w:t xml:space="preserve">                                    </w:t>
            </w:r>
            <w:r w:rsidR="00700459" w:rsidRPr="00042DA9">
              <w:rPr>
                <w:color w:val="000000" w:themeColor="text1"/>
                <w:sz w:val="24"/>
                <w:szCs w:val="24"/>
              </w:rPr>
              <w:t xml:space="preserve">                          </w:t>
            </w:r>
            <w:r w:rsidRPr="00042DA9">
              <w:rPr>
                <w:color w:val="000000" w:themeColor="text1"/>
                <w:sz w:val="24"/>
                <w:szCs w:val="24"/>
              </w:rPr>
              <w:t>School/Location:</w:t>
            </w:r>
            <w:r w:rsidR="00700459" w:rsidRPr="00042DA9">
              <w:rPr>
                <w:color w:val="000000" w:themeColor="text1"/>
                <w:sz w:val="24"/>
                <w:szCs w:val="24"/>
              </w:rPr>
              <w:t xml:space="preserve">  Santee Education Complex</w:t>
            </w:r>
          </w:p>
        </w:tc>
      </w:tr>
      <w:tr w:rsidR="00AF7BBF">
        <w:tc>
          <w:tcPr>
            <w:tcW w:w="13176" w:type="dxa"/>
            <w:gridSpan w:val="3"/>
            <w:shd w:val="clear" w:color="auto" w:fill="auto"/>
          </w:tcPr>
          <w:p w:rsidR="00F62418" w:rsidRPr="00042DA9" w:rsidRDefault="001C6467" w:rsidP="00F62418">
            <w:pPr>
              <w:rPr>
                <w:color w:val="000000" w:themeColor="text1"/>
                <w:sz w:val="24"/>
                <w:szCs w:val="24"/>
              </w:rPr>
            </w:pPr>
            <w:r w:rsidRPr="00042DA9">
              <w:rPr>
                <w:color w:val="000000" w:themeColor="text1"/>
                <w:sz w:val="24"/>
                <w:szCs w:val="24"/>
              </w:rPr>
              <w:t>Subject</w:t>
            </w:r>
            <w:r w:rsidR="00AF7BBF" w:rsidRPr="00042DA9">
              <w:rPr>
                <w:color w:val="000000" w:themeColor="text1"/>
                <w:sz w:val="24"/>
                <w:szCs w:val="24"/>
              </w:rPr>
              <w:t xml:space="preserve">:  </w:t>
            </w:r>
            <w:r w:rsidR="006B7E40" w:rsidRPr="00042DA9">
              <w:rPr>
                <w:color w:val="000000" w:themeColor="text1"/>
                <w:sz w:val="24"/>
                <w:szCs w:val="24"/>
              </w:rPr>
              <w:t>United States History</w:t>
            </w:r>
            <w:r w:rsidR="00AF7BBF" w:rsidRPr="00042DA9">
              <w:rPr>
                <w:color w:val="000000" w:themeColor="text1"/>
                <w:sz w:val="24"/>
                <w:szCs w:val="24"/>
              </w:rPr>
              <w:t xml:space="preserve">       </w:t>
            </w:r>
            <w:r w:rsidR="006B7E40" w:rsidRPr="00042DA9">
              <w:rPr>
                <w:color w:val="000000" w:themeColor="text1"/>
                <w:sz w:val="24"/>
                <w:szCs w:val="24"/>
              </w:rPr>
              <w:t xml:space="preserve">                   </w:t>
            </w:r>
            <w:r w:rsidR="00AF7BBF" w:rsidRPr="00042DA9">
              <w:rPr>
                <w:color w:val="000000" w:themeColor="text1"/>
                <w:sz w:val="24"/>
                <w:szCs w:val="24"/>
              </w:rPr>
              <w:t xml:space="preserve">Grade:  </w:t>
            </w:r>
            <w:r w:rsidR="006B7E40" w:rsidRPr="00042DA9">
              <w:rPr>
                <w:color w:val="000000" w:themeColor="text1"/>
                <w:sz w:val="24"/>
                <w:szCs w:val="24"/>
              </w:rPr>
              <w:t>11</w:t>
            </w:r>
            <w:r w:rsidR="00AF7BBF" w:rsidRPr="00042DA9">
              <w:rPr>
                <w:color w:val="000000" w:themeColor="text1"/>
                <w:sz w:val="24"/>
                <w:szCs w:val="24"/>
              </w:rPr>
              <w:t xml:space="preserve"> </w:t>
            </w:r>
          </w:p>
          <w:p w:rsidR="00F62418" w:rsidRPr="00042DA9" w:rsidRDefault="00AF7BBF" w:rsidP="00F62418">
            <w:pPr>
              <w:rPr>
                <w:color w:val="000000" w:themeColor="text1"/>
                <w:sz w:val="24"/>
                <w:szCs w:val="24"/>
              </w:rPr>
            </w:pPr>
            <w:r w:rsidRPr="00042DA9">
              <w:rPr>
                <w:color w:val="000000" w:themeColor="text1"/>
                <w:sz w:val="24"/>
                <w:szCs w:val="24"/>
              </w:rPr>
              <w:t xml:space="preserve">Unit Title:  </w:t>
            </w:r>
            <w:r w:rsidR="006B7E40" w:rsidRPr="00042DA9">
              <w:rPr>
                <w:color w:val="000000" w:themeColor="text1"/>
                <w:sz w:val="24"/>
                <w:szCs w:val="24"/>
              </w:rPr>
              <w:t xml:space="preserve">Xenophobia </w:t>
            </w:r>
            <w:r w:rsidR="00F62418" w:rsidRPr="00042DA9">
              <w:rPr>
                <w:color w:val="000000" w:themeColor="text1"/>
                <w:sz w:val="24"/>
                <w:szCs w:val="24"/>
              </w:rPr>
              <w:t>In America [Past and Present] and Abroad [Contemporary</w:t>
            </w:r>
          </w:p>
          <w:p w:rsidR="00AF7BBF" w:rsidRPr="00042DA9" w:rsidRDefault="00AF7BBF" w:rsidP="00F62418">
            <w:pPr>
              <w:rPr>
                <w:color w:val="000000" w:themeColor="text1"/>
                <w:sz w:val="24"/>
                <w:szCs w:val="24"/>
              </w:rPr>
            </w:pPr>
            <w:r w:rsidRPr="00042DA9">
              <w:rPr>
                <w:color w:val="000000" w:themeColor="text1"/>
                <w:sz w:val="24"/>
                <w:szCs w:val="24"/>
              </w:rPr>
              <w:t xml:space="preserve">Time Needed: </w:t>
            </w:r>
            <w:r w:rsidR="000148E3" w:rsidRPr="00042DA9">
              <w:rPr>
                <w:color w:val="000000" w:themeColor="text1"/>
                <w:sz w:val="24"/>
                <w:szCs w:val="24"/>
              </w:rPr>
              <w:t>Four Weeks</w:t>
            </w:r>
          </w:p>
        </w:tc>
      </w:tr>
      <w:tr w:rsidR="00AF7BBF">
        <w:tc>
          <w:tcPr>
            <w:tcW w:w="13176" w:type="dxa"/>
            <w:gridSpan w:val="3"/>
            <w:shd w:val="clear" w:color="auto" w:fill="auto"/>
          </w:tcPr>
          <w:p w:rsidR="00F62418" w:rsidRPr="00042DA9" w:rsidRDefault="00AF7BBF" w:rsidP="001C6467">
            <w:pPr>
              <w:rPr>
                <w:color w:val="000000" w:themeColor="text1"/>
                <w:sz w:val="24"/>
                <w:szCs w:val="24"/>
              </w:rPr>
            </w:pPr>
            <w:r w:rsidRPr="00042DA9">
              <w:rPr>
                <w:color w:val="000000" w:themeColor="text1"/>
                <w:sz w:val="24"/>
                <w:szCs w:val="24"/>
              </w:rPr>
              <w:t>Unit Summary:</w:t>
            </w:r>
            <w:r w:rsidR="006B7E40" w:rsidRPr="00042DA9">
              <w:rPr>
                <w:color w:val="000000" w:themeColor="text1"/>
                <w:sz w:val="24"/>
                <w:szCs w:val="24"/>
              </w:rPr>
              <w:t xml:space="preserve">  Students will investigate </w:t>
            </w:r>
            <w:r w:rsidR="00F62418" w:rsidRPr="00042DA9">
              <w:rPr>
                <w:color w:val="000000" w:themeColor="text1"/>
                <w:sz w:val="24"/>
                <w:szCs w:val="24"/>
              </w:rPr>
              <w:t xml:space="preserve">the </w:t>
            </w:r>
            <w:r w:rsidR="006B7E40" w:rsidRPr="00042DA9">
              <w:rPr>
                <w:color w:val="000000" w:themeColor="text1"/>
                <w:sz w:val="24"/>
                <w:szCs w:val="24"/>
              </w:rPr>
              <w:t xml:space="preserve">American </w:t>
            </w:r>
            <w:proofErr w:type="spellStart"/>
            <w:r w:rsidR="006B7E40" w:rsidRPr="00042DA9">
              <w:rPr>
                <w:color w:val="000000" w:themeColor="text1"/>
                <w:sz w:val="24"/>
                <w:szCs w:val="24"/>
              </w:rPr>
              <w:t>nativist</w:t>
            </w:r>
            <w:proofErr w:type="spellEnd"/>
            <w:r w:rsidR="006B7E40" w:rsidRPr="00042DA9">
              <w:rPr>
                <w:color w:val="000000" w:themeColor="text1"/>
                <w:sz w:val="24"/>
                <w:szCs w:val="24"/>
              </w:rPr>
              <w:t xml:space="preserve"> </w:t>
            </w:r>
            <w:r w:rsidR="008C47E8" w:rsidRPr="00042DA9">
              <w:rPr>
                <w:color w:val="000000" w:themeColor="text1"/>
                <w:sz w:val="24"/>
                <w:szCs w:val="24"/>
              </w:rPr>
              <w:t xml:space="preserve">movement </w:t>
            </w:r>
            <w:r w:rsidR="00F62418" w:rsidRPr="00042DA9">
              <w:rPr>
                <w:color w:val="000000" w:themeColor="text1"/>
                <w:sz w:val="24"/>
                <w:szCs w:val="24"/>
              </w:rPr>
              <w:t>through different periods i</w:t>
            </w:r>
            <w:r w:rsidR="00042BE5" w:rsidRPr="00042DA9">
              <w:rPr>
                <w:color w:val="000000" w:themeColor="text1"/>
                <w:sz w:val="24"/>
                <w:szCs w:val="24"/>
              </w:rPr>
              <w:t>n American History, as well as contemporary e</w:t>
            </w:r>
            <w:r w:rsidR="00F62418" w:rsidRPr="00042DA9">
              <w:rPr>
                <w:color w:val="000000" w:themeColor="text1"/>
                <w:sz w:val="24"/>
                <w:szCs w:val="24"/>
              </w:rPr>
              <w:t xml:space="preserve">xamples of </w:t>
            </w:r>
            <w:r w:rsidR="00042BE5" w:rsidRPr="00042DA9">
              <w:rPr>
                <w:color w:val="000000" w:themeColor="text1"/>
                <w:sz w:val="24"/>
                <w:szCs w:val="24"/>
              </w:rPr>
              <w:t>nativism and xenophobia abroad.</w:t>
            </w:r>
            <w:r w:rsidR="00F62418" w:rsidRPr="00042DA9">
              <w:rPr>
                <w:color w:val="000000" w:themeColor="text1"/>
                <w:sz w:val="24"/>
                <w:szCs w:val="24"/>
              </w:rPr>
              <w:br/>
            </w:r>
          </w:p>
          <w:p w:rsidR="00F62418" w:rsidRPr="00042DA9" w:rsidRDefault="00F62418" w:rsidP="001C6467">
            <w:pPr>
              <w:rPr>
                <w:color w:val="000000" w:themeColor="text1"/>
                <w:sz w:val="24"/>
                <w:szCs w:val="24"/>
              </w:rPr>
            </w:pPr>
            <w:r w:rsidRPr="00042DA9">
              <w:rPr>
                <w:color w:val="000000" w:themeColor="text1"/>
                <w:sz w:val="24"/>
                <w:szCs w:val="24"/>
              </w:rPr>
              <w:t xml:space="preserve">1.  American Nativism and the Americanization Movement </w:t>
            </w:r>
            <w:r w:rsidR="008C47E8" w:rsidRPr="00042DA9">
              <w:rPr>
                <w:color w:val="000000" w:themeColor="text1"/>
                <w:sz w:val="24"/>
                <w:szCs w:val="24"/>
              </w:rPr>
              <w:t>during the Gilded Age</w:t>
            </w:r>
            <w:r w:rsidRPr="00042DA9">
              <w:rPr>
                <w:color w:val="000000" w:themeColor="text1"/>
                <w:sz w:val="24"/>
                <w:szCs w:val="24"/>
              </w:rPr>
              <w:t>.</w:t>
            </w:r>
            <w:r w:rsidR="008C47E8" w:rsidRPr="00042DA9">
              <w:rPr>
                <w:color w:val="000000" w:themeColor="text1"/>
                <w:sz w:val="24"/>
                <w:szCs w:val="24"/>
              </w:rPr>
              <w:t xml:space="preserve"> </w:t>
            </w:r>
            <w:r w:rsidRPr="00042DA9">
              <w:rPr>
                <w:color w:val="000000" w:themeColor="text1"/>
                <w:sz w:val="24"/>
                <w:szCs w:val="24"/>
              </w:rPr>
              <w:br/>
              <w:t>2.  American Nativism during the 1920s.</w:t>
            </w:r>
            <w:r w:rsidRPr="00042DA9">
              <w:rPr>
                <w:color w:val="000000" w:themeColor="text1"/>
                <w:sz w:val="24"/>
                <w:szCs w:val="24"/>
              </w:rPr>
              <w:br/>
              <w:t>3.  More Recent Examples of American Nativism and Xenophobia</w:t>
            </w:r>
            <w:r w:rsidR="009C63FA" w:rsidRPr="00042DA9">
              <w:rPr>
                <w:color w:val="000000" w:themeColor="text1"/>
                <w:sz w:val="24"/>
                <w:szCs w:val="24"/>
              </w:rPr>
              <w:t xml:space="preserve"> [and its impact on the Latino Community]</w:t>
            </w:r>
            <w:r w:rsidRPr="00042DA9">
              <w:rPr>
                <w:color w:val="000000" w:themeColor="text1"/>
                <w:sz w:val="24"/>
                <w:szCs w:val="24"/>
              </w:rPr>
              <w:br/>
              <w:t xml:space="preserve">4.  </w:t>
            </w:r>
            <w:r w:rsidR="009C63FA" w:rsidRPr="00042DA9">
              <w:rPr>
                <w:color w:val="000000" w:themeColor="text1"/>
                <w:sz w:val="24"/>
                <w:szCs w:val="24"/>
              </w:rPr>
              <w:t>Contemporary Examples of Nativism and Xenophobia in other nation-states</w:t>
            </w:r>
          </w:p>
          <w:p w:rsidR="00F62418" w:rsidRPr="00042DA9" w:rsidRDefault="00F62418" w:rsidP="001C6467">
            <w:pPr>
              <w:rPr>
                <w:color w:val="000000" w:themeColor="text1"/>
                <w:sz w:val="24"/>
                <w:szCs w:val="24"/>
              </w:rPr>
            </w:pPr>
          </w:p>
          <w:p w:rsidR="00AF7BBF" w:rsidRPr="00042DA9" w:rsidRDefault="006B7E40" w:rsidP="001C6467">
            <w:pPr>
              <w:rPr>
                <w:color w:val="000000" w:themeColor="text1"/>
                <w:sz w:val="24"/>
                <w:szCs w:val="24"/>
              </w:rPr>
            </w:pPr>
            <w:r w:rsidRPr="00042DA9">
              <w:rPr>
                <w:color w:val="000000" w:themeColor="text1"/>
                <w:sz w:val="24"/>
                <w:szCs w:val="24"/>
              </w:rPr>
              <w:t xml:space="preserve">In order to make connections to their own locational and personal domains, students will investigate, in particular, the anti-immigrant rhetoric targeted at the Latino community from the 1990s to today.  </w:t>
            </w:r>
          </w:p>
          <w:p w:rsidR="00AF7BBF" w:rsidRPr="00042DA9" w:rsidRDefault="00AF7BBF" w:rsidP="001C6467">
            <w:pPr>
              <w:rPr>
                <w:color w:val="000000" w:themeColor="text1"/>
                <w:sz w:val="24"/>
                <w:szCs w:val="24"/>
              </w:rPr>
            </w:pPr>
          </w:p>
        </w:tc>
      </w:tr>
      <w:tr w:rsidR="00AF7BBF">
        <w:tc>
          <w:tcPr>
            <w:tcW w:w="13176"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tc>
          <w:tcPr>
            <w:tcW w:w="4392" w:type="dxa"/>
            <w:vMerge w:val="restart"/>
          </w:tcPr>
          <w:p w:rsidR="00AF7BBF" w:rsidRPr="00042DA9" w:rsidRDefault="00AF7BBF" w:rsidP="001C6467">
            <w:pPr>
              <w:tabs>
                <w:tab w:val="right" w:pos="3960"/>
              </w:tabs>
              <w:rPr>
                <w:sz w:val="24"/>
              </w:rPr>
            </w:pPr>
            <w:r w:rsidRPr="00042DA9">
              <w:rPr>
                <w:sz w:val="24"/>
              </w:rPr>
              <w:t>ESTABLISHED GOALS:</w:t>
            </w:r>
          </w:p>
          <w:p w:rsidR="006D0289" w:rsidRPr="00042DA9" w:rsidRDefault="006D0289" w:rsidP="001C6467">
            <w:pPr>
              <w:tabs>
                <w:tab w:val="right" w:pos="3960"/>
              </w:tabs>
              <w:rPr>
                <w:sz w:val="24"/>
              </w:rPr>
            </w:pPr>
          </w:p>
          <w:p w:rsidR="006D0289" w:rsidRPr="00042DA9" w:rsidRDefault="00F62418" w:rsidP="001C6467">
            <w:pPr>
              <w:tabs>
                <w:tab w:val="right" w:pos="3960"/>
              </w:tabs>
              <w:rPr>
                <w:sz w:val="24"/>
              </w:rPr>
            </w:pPr>
            <w:r w:rsidRPr="00042DA9">
              <w:rPr>
                <w:sz w:val="24"/>
              </w:rPr>
              <w:t>G1</w:t>
            </w:r>
            <w:r w:rsidR="006D0289" w:rsidRPr="00042DA9">
              <w:rPr>
                <w:sz w:val="24"/>
              </w:rPr>
              <w:t xml:space="preserve">:  Analyze the American </w:t>
            </w:r>
            <w:proofErr w:type="spellStart"/>
            <w:r w:rsidR="006D0289" w:rsidRPr="00042DA9">
              <w:rPr>
                <w:sz w:val="24"/>
              </w:rPr>
              <w:t>Nativist</w:t>
            </w:r>
            <w:proofErr w:type="spellEnd"/>
            <w:r w:rsidR="006D0289" w:rsidRPr="00042DA9">
              <w:rPr>
                <w:sz w:val="24"/>
              </w:rPr>
              <w:t xml:space="preserve"> </w:t>
            </w:r>
            <w:r w:rsidR="008C47E8" w:rsidRPr="00042DA9">
              <w:rPr>
                <w:sz w:val="24"/>
              </w:rPr>
              <w:t>Movement during the Gilded Age</w:t>
            </w:r>
            <w:r w:rsidRPr="00042DA9">
              <w:rPr>
                <w:sz w:val="24"/>
              </w:rPr>
              <w:t>, the 1920s</w:t>
            </w:r>
            <w:r w:rsidR="008C47E8" w:rsidRPr="00042DA9">
              <w:rPr>
                <w:sz w:val="24"/>
              </w:rPr>
              <w:t xml:space="preserve"> </w:t>
            </w:r>
            <w:r w:rsidR="006D0289" w:rsidRPr="00042DA9">
              <w:rPr>
                <w:sz w:val="24"/>
              </w:rPr>
              <w:t>and in the contemporary period.</w:t>
            </w:r>
          </w:p>
          <w:p w:rsidR="006D0289" w:rsidRPr="00042DA9" w:rsidRDefault="006D0289" w:rsidP="006D0289">
            <w:pPr>
              <w:pStyle w:val="NormalWeb"/>
              <w:spacing w:before="2" w:after="2"/>
              <w:rPr>
                <w:rFonts w:asciiTheme="minorHAnsi" w:hAnsiTheme="minorHAnsi"/>
                <w:sz w:val="24"/>
                <w:szCs w:val="22"/>
              </w:rPr>
            </w:pPr>
            <w:r w:rsidRPr="00042DA9">
              <w:rPr>
                <w:rFonts w:asciiTheme="minorHAnsi" w:hAnsiTheme="minorHAnsi"/>
                <w:sz w:val="24"/>
                <w:szCs w:val="22"/>
              </w:rPr>
              <w:t xml:space="preserve">G3. Produce and distribute writing with evidence supporting a claim. </w:t>
            </w:r>
          </w:p>
          <w:p w:rsidR="006D0289" w:rsidRPr="00042DA9" w:rsidRDefault="006D0289" w:rsidP="006D0289">
            <w:pPr>
              <w:pStyle w:val="NormalWeb"/>
              <w:spacing w:before="2" w:after="2"/>
              <w:rPr>
                <w:rFonts w:asciiTheme="minorHAnsi" w:hAnsiTheme="minorHAnsi"/>
                <w:sz w:val="24"/>
                <w:szCs w:val="22"/>
              </w:rPr>
            </w:pPr>
            <w:r w:rsidRPr="00042DA9">
              <w:rPr>
                <w:rFonts w:asciiTheme="minorHAnsi" w:hAnsiTheme="minorHAnsi"/>
                <w:sz w:val="24"/>
                <w:szCs w:val="22"/>
              </w:rPr>
              <w:t>G4:  Explain the causes an</w:t>
            </w:r>
            <w:r w:rsidR="00F62418" w:rsidRPr="00042DA9">
              <w:rPr>
                <w:rFonts w:asciiTheme="minorHAnsi" w:hAnsiTheme="minorHAnsi"/>
                <w:sz w:val="24"/>
                <w:szCs w:val="22"/>
              </w:rPr>
              <w:t xml:space="preserve">d effects of xenophobia abroad </w:t>
            </w:r>
            <w:r w:rsidRPr="00042DA9">
              <w:rPr>
                <w:rFonts w:asciiTheme="minorHAnsi" w:hAnsiTheme="minorHAnsi"/>
                <w:sz w:val="24"/>
                <w:szCs w:val="22"/>
              </w:rPr>
              <w:t>and in American society.</w:t>
            </w:r>
          </w:p>
          <w:p w:rsidR="00DE501E" w:rsidRPr="00042DA9" w:rsidRDefault="006D0289" w:rsidP="006D0289">
            <w:pPr>
              <w:pStyle w:val="NormalWeb"/>
              <w:spacing w:before="2" w:after="2"/>
              <w:rPr>
                <w:rFonts w:asciiTheme="minorHAnsi" w:hAnsiTheme="minorHAnsi"/>
                <w:sz w:val="24"/>
                <w:szCs w:val="22"/>
              </w:rPr>
            </w:pPr>
            <w:r w:rsidRPr="00042DA9">
              <w:rPr>
                <w:rFonts w:asciiTheme="minorHAnsi" w:hAnsiTheme="minorHAnsi"/>
                <w:sz w:val="24"/>
                <w:szCs w:val="22"/>
              </w:rPr>
              <w:t>G5:  Co</w:t>
            </w:r>
            <w:r w:rsidR="00F62418" w:rsidRPr="00042DA9">
              <w:rPr>
                <w:rFonts w:asciiTheme="minorHAnsi" w:hAnsiTheme="minorHAnsi"/>
                <w:sz w:val="24"/>
                <w:szCs w:val="22"/>
              </w:rPr>
              <w:t>mpare and contrast xenophobia</w:t>
            </w:r>
            <w:r w:rsidRPr="00042DA9">
              <w:rPr>
                <w:rFonts w:asciiTheme="minorHAnsi" w:hAnsiTheme="minorHAnsi"/>
                <w:sz w:val="24"/>
                <w:szCs w:val="22"/>
              </w:rPr>
              <w:t xml:space="preserve"> </w:t>
            </w:r>
            <w:r w:rsidR="00F62418" w:rsidRPr="00042DA9">
              <w:rPr>
                <w:rFonts w:asciiTheme="minorHAnsi" w:hAnsiTheme="minorHAnsi"/>
                <w:sz w:val="24"/>
                <w:szCs w:val="22"/>
              </w:rPr>
              <w:t>abroad</w:t>
            </w:r>
            <w:r w:rsidRPr="00042DA9">
              <w:rPr>
                <w:rFonts w:asciiTheme="minorHAnsi" w:hAnsiTheme="minorHAnsi"/>
                <w:sz w:val="24"/>
                <w:szCs w:val="22"/>
              </w:rPr>
              <w:t xml:space="preserve"> and in American society.</w:t>
            </w:r>
            <w:r w:rsidR="00DE501E" w:rsidRPr="00042DA9">
              <w:rPr>
                <w:rFonts w:asciiTheme="minorHAnsi" w:hAnsiTheme="minorHAnsi"/>
                <w:sz w:val="24"/>
                <w:szCs w:val="22"/>
              </w:rPr>
              <w:br/>
            </w:r>
            <w:r w:rsidR="00DE501E" w:rsidRPr="00042DA9">
              <w:rPr>
                <w:rFonts w:asciiTheme="minorHAnsi" w:hAnsiTheme="minorHAnsi"/>
                <w:sz w:val="24"/>
                <w:szCs w:val="22"/>
              </w:rPr>
              <w:br/>
              <w:t>HISTORY-SOCIAL SCIENCE CA STANDARDS</w:t>
            </w:r>
          </w:p>
          <w:p w:rsidR="00FE5E67" w:rsidRPr="00042DA9" w:rsidRDefault="00FE5E67" w:rsidP="00FE5E67">
            <w:pPr>
              <w:pStyle w:val="NormalWeb"/>
              <w:spacing w:before="2" w:after="2"/>
              <w:rPr>
                <w:rFonts w:asciiTheme="minorHAnsi" w:hAnsiTheme="minorHAnsi"/>
                <w:sz w:val="24"/>
                <w:szCs w:val="22"/>
              </w:rPr>
            </w:pPr>
            <w:r w:rsidRPr="00042DA9">
              <w:rPr>
                <w:rFonts w:asciiTheme="minorHAnsi" w:hAnsiTheme="minorHAnsi"/>
                <w:sz w:val="24"/>
                <w:szCs w:val="22"/>
              </w:rPr>
              <w:t xml:space="preserve">11.2.3 Trace the effect of the Americanization movement. </w:t>
            </w:r>
            <w:r w:rsidRPr="00042DA9">
              <w:rPr>
                <w:rFonts w:asciiTheme="minorHAnsi" w:hAnsiTheme="minorHAnsi"/>
                <w:sz w:val="24"/>
                <w:szCs w:val="22"/>
              </w:rPr>
              <w:br/>
            </w:r>
            <w:r w:rsidRPr="00042DA9">
              <w:rPr>
                <w:rFonts w:asciiTheme="minorHAnsi" w:hAnsiTheme="minorHAnsi"/>
                <w:sz w:val="24"/>
                <w:szCs w:val="22"/>
              </w:rPr>
              <w:br/>
              <w:t xml:space="preserve">11.2.4 Analyze the effect of urban political machines and responses to them by immigrants and middle-class reformers. </w:t>
            </w:r>
            <w:r w:rsidRPr="00042DA9">
              <w:rPr>
                <w:rFonts w:asciiTheme="minorHAnsi" w:hAnsiTheme="minorHAnsi"/>
                <w:sz w:val="24"/>
                <w:szCs w:val="22"/>
              </w:rPr>
              <w:br/>
            </w:r>
            <w:r w:rsidRPr="00042DA9">
              <w:rPr>
                <w:rFonts w:asciiTheme="minorHAnsi" w:hAnsiTheme="minorHAnsi"/>
                <w:sz w:val="24"/>
                <w:szCs w:val="22"/>
              </w:rPr>
              <w:br/>
              <w:t xml:space="preserve">11.2.7 Analyze the similarities and differences between the ideologies of Social Darwinism and Social Gospel (e.g., using biographies of William Graham Sumner, Billy Sunday, Dwight L. Moody). </w:t>
            </w:r>
          </w:p>
          <w:p w:rsidR="00DE501E" w:rsidRPr="00042DA9" w:rsidRDefault="00DE501E" w:rsidP="00F62418">
            <w:pPr>
              <w:pStyle w:val="NormalWeb"/>
              <w:tabs>
                <w:tab w:val="left" w:pos="0"/>
              </w:tabs>
              <w:spacing w:before="2" w:after="2"/>
              <w:rPr>
                <w:rFonts w:asciiTheme="minorHAnsi" w:eastAsiaTheme="minorHAnsi" w:hAnsiTheme="minorHAnsi"/>
                <w:sz w:val="24"/>
                <w:szCs w:val="22"/>
              </w:rPr>
            </w:pPr>
          </w:p>
          <w:p w:rsidR="00DE501E" w:rsidRPr="00042DA9" w:rsidRDefault="00DE501E" w:rsidP="00112D9E">
            <w:pPr>
              <w:spacing w:beforeLines="1" w:afterLines="1"/>
              <w:rPr>
                <w:rFonts w:eastAsiaTheme="minorHAnsi" w:cs="Times New Roman"/>
                <w:sz w:val="24"/>
                <w:szCs w:val="20"/>
                <w:lang w:eastAsia="en-US"/>
              </w:rPr>
            </w:pPr>
            <w:r w:rsidRPr="00042DA9">
              <w:rPr>
                <w:rFonts w:eastAsiaTheme="minorHAnsi" w:cs="Times New Roman"/>
                <w:bCs/>
                <w:sz w:val="24"/>
                <w:szCs w:val="24"/>
                <w:lang w:eastAsia="en-US"/>
              </w:rPr>
              <w:t xml:space="preserve">11.11  Students analyze the major social problems and domestic policy </w:t>
            </w:r>
            <w:r w:rsidRPr="00042DA9">
              <w:rPr>
                <w:rFonts w:eastAsiaTheme="minorHAnsi" w:cs="Times New Roman"/>
                <w:bCs/>
                <w:sz w:val="24"/>
                <w:szCs w:val="24"/>
                <w:lang w:eastAsia="en-US"/>
              </w:rPr>
              <w:lastRenderedPageBreak/>
              <w:t xml:space="preserve">issues in contemporary American society. </w:t>
            </w:r>
          </w:p>
          <w:p w:rsidR="009C3D0C" w:rsidRPr="00042DA9" w:rsidRDefault="00DE501E" w:rsidP="001C6467">
            <w:pPr>
              <w:tabs>
                <w:tab w:val="right" w:pos="3960"/>
              </w:tabs>
              <w:rPr>
                <w:sz w:val="24"/>
              </w:rPr>
            </w:pPr>
            <w:r w:rsidRPr="00042DA9">
              <w:rPr>
                <w:sz w:val="24"/>
              </w:rPr>
              <w:br/>
              <w:t xml:space="preserve">NOTE:  We are transitioning between the use of the History-Social Science CA Standards and the Common Core Standards.  Last year, there was no statewide testing covering these standards, and no testing covering the Social Sciences.  Same situation this year. This has allowed for some flexibility in our use of time for non AP Social Science courses. </w:t>
            </w:r>
            <w:r w:rsidRPr="00042DA9">
              <w:rPr>
                <w:sz w:val="24"/>
              </w:rPr>
              <w:br/>
            </w:r>
          </w:p>
          <w:p w:rsidR="000148E3" w:rsidRPr="00042DA9" w:rsidRDefault="00AF7BBF" w:rsidP="001C6467">
            <w:pPr>
              <w:tabs>
                <w:tab w:val="right" w:pos="3960"/>
              </w:tabs>
              <w:rPr>
                <w:sz w:val="24"/>
              </w:rPr>
            </w:pPr>
            <w:r w:rsidRPr="00042DA9">
              <w:rPr>
                <w:sz w:val="24"/>
              </w:rPr>
              <w:t>GLOBAL COMPETENCY:</w:t>
            </w:r>
          </w:p>
          <w:p w:rsidR="006D0289" w:rsidRPr="00042DA9" w:rsidRDefault="000148E3" w:rsidP="001C6467">
            <w:pPr>
              <w:tabs>
                <w:tab w:val="right" w:pos="3960"/>
              </w:tabs>
              <w:rPr>
                <w:sz w:val="24"/>
              </w:rPr>
            </w:pPr>
            <w:r w:rsidRPr="00042DA9">
              <w:rPr>
                <w:sz w:val="24"/>
              </w:rPr>
              <w:t>Investigate the world</w:t>
            </w:r>
          </w:p>
          <w:p w:rsidR="006D0289" w:rsidRPr="00042DA9" w:rsidRDefault="006D0289" w:rsidP="00112D9E">
            <w:pPr>
              <w:spacing w:beforeLines="1" w:afterLines="1"/>
              <w:rPr>
                <w:rFonts w:ascii="Calibri" w:hAnsi="Calibri" w:cs="Times New Roman"/>
                <w:sz w:val="24"/>
                <w:lang w:eastAsia="en-US"/>
              </w:rPr>
            </w:pPr>
            <w:r w:rsidRPr="00042DA9">
              <w:rPr>
                <w:rFonts w:ascii="Calibri" w:hAnsi="Calibri" w:cs="Times New Roman"/>
                <w:sz w:val="24"/>
                <w:lang w:eastAsia="en-US"/>
              </w:rPr>
              <w:t>Communicate Ideas</w:t>
            </w:r>
          </w:p>
          <w:p w:rsidR="000148E3" w:rsidRPr="00042DA9" w:rsidRDefault="000148E3" w:rsidP="00112D9E">
            <w:pPr>
              <w:spacing w:beforeLines="1" w:afterLines="1"/>
              <w:rPr>
                <w:rFonts w:ascii="Calibri" w:hAnsi="Calibri" w:cs="Times New Roman"/>
                <w:sz w:val="24"/>
                <w:lang w:eastAsia="en-US"/>
              </w:rPr>
            </w:pPr>
            <w:r w:rsidRPr="00042DA9">
              <w:rPr>
                <w:rFonts w:ascii="Calibri" w:hAnsi="Calibri" w:cs="Times New Roman"/>
                <w:sz w:val="24"/>
                <w:lang w:eastAsia="en-US"/>
              </w:rPr>
              <w:t xml:space="preserve">Recognize </w:t>
            </w:r>
            <w:r w:rsidR="006D0289" w:rsidRPr="00042DA9">
              <w:rPr>
                <w:rFonts w:ascii="Calibri" w:hAnsi="Calibri" w:cs="Times New Roman"/>
                <w:sz w:val="24"/>
                <w:lang w:eastAsia="en-US"/>
              </w:rPr>
              <w:t xml:space="preserve">Perspectives </w:t>
            </w:r>
          </w:p>
          <w:p w:rsidR="009C3D0C" w:rsidRPr="00042DA9" w:rsidRDefault="009C3D0C" w:rsidP="001C6467">
            <w:pPr>
              <w:tabs>
                <w:tab w:val="right" w:pos="3960"/>
              </w:tabs>
              <w:rPr>
                <w:sz w:val="24"/>
              </w:rPr>
            </w:pPr>
          </w:p>
          <w:p w:rsidR="00042BE5" w:rsidRPr="00042DA9" w:rsidRDefault="008C2F73" w:rsidP="001C6467">
            <w:pPr>
              <w:tabs>
                <w:tab w:val="right" w:pos="3960"/>
              </w:tabs>
              <w:rPr>
                <w:sz w:val="24"/>
              </w:rPr>
            </w:pPr>
            <w:r w:rsidRPr="00042DA9">
              <w:rPr>
                <w:sz w:val="24"/>
              </w:rPr>
              <w:t xml:space="preserve">RESOURCES: </w:t>
            </w:r>
          </w:p>
          <w:p w:rsidR="00042BE5" w:rsidRPr="00042DA9" w:rsidRDefault="00042BE5" w:rsidP="001C6467">
            <w:pPr>
              <w:tabs>
                <w:tab w:val="right" w:pos="3960"/>
              </w:tabs>
              <w:rPr>
                <w:sz w:val="24"/>
              </w:rPr>
            </w:pPr>
          </w:p>
          <w:p w:rsidR="000148E3" w:rsidRPr="00042DA9" w:rsidRDefault="00042BE5" w:rsidP="001C6467">
            <w:pPr>
              <w:tabs>
                <w:tab w:val="right" w:pos="3960"/>
              </w:tabs>
              <w:rPr>
                <w:sz w:val="24"/>
              </w:rPr>
            </w:pPr>
            <w:r w:rsidRPr="00042DA9">
              <w:rPr>
                <w:sz w:val="24"/>
              </w:rPr>
              <w:t xml:space="preserve">TEXTBOOK:  The Americans:  </w:t>
            </w:r>
            <w:hyperlink r:id="rId8" w:history="1">
              <w:r w:rsidRPr="00042DA9">
                <w:rPr>
                  <w:rFonts w:cs="Times"/>
                  <w:sz w:val="24"/>
                  <w:szCs w:val="48"/>
                </w:rPr>
                <w:t>The Americans California: Student Edition Grades 9-12 Reconstruction to the 21st Century 2003</w:t>
              </w:r>
            </w:hyperlink>
          </w:p>
          <w:p w:rsidR="008C2F73" w:rsidRPr="001A5145" w:rsidRDefault="008C2F73" w:rsidP="001C6467">
            <w:pPr>
              <w:tabs>
                <w:tab w:val="right" w:pos="3960"/>
              </w:tabs>
              <w:rPr>
                <w:sz w:val="24"/>
              </w:rPr>
            </w:pPr>
          </w:p>
          <w:p w:rsidR="000148E3" w:rsidRPr="001A5145" w:rsidRDefault="004A588D" w:rsidP="009C3D0C">
            <w:pPr>
              <w:tabs>
                <w:tab w:val="right" w:pos="3960"/>
              </w:tabs>
              <w:rPr>
                <w:sz w:val="24"/>
              </w:rPr>
            </w:pPr>
            <w:hyperlink r:id="rId9" w:history="1">
              <w:r w:rsidR="000148E3" w:rsidRPr="001A5145">
                <w:rPr>
                  <w:rStyle w:val="Hyperlink"/>
                  <w:sz w:val="24"/>
                </w:rPr>
                <w:t>http://sheg.stanford.edu/chinese-immigration-exclusion</w:t>
              </w:r>
            </w:hyperlink>
          </w:p>
          <w:p w:rsidR="001A5145" w:rsidRPr="001A5145" w:rsidRDefault="008C47E8" w:rsidP="009C3D0C">
            <w:pPr>
              <w:tabs>
                <w:tab w:val="right" w:pos="3960"/>
              </w:tabs>
              <w:rPr>
                <w:rFonts w:cs="Georgia"/>
                <w:color w:val="0E0E0E"/>
                <w:sz w:val="24"/>
                <w:szCs w:val="32"/>
              </w:rPr>
            </w:pPr>
            <w:r w:rsidRPr="001A5145">
              <w:rPr>
                <w:sz w:val="24"/>
              </w:rPr>
              <w:br/>
            </w:r>
            <w:hyperlink r:id="rId10" w:history="1">
              <w:r w:rsidRPr="001A5145">
                <w:rPr>
                  <w:rStyle w:val="Hyperlink"/>
                  <w:sz w:val="24"/>
                </w:rPr>
                <w:t>http://sheg.stanford.edu/progressive-social-reformers</w:t>
              </w:r>
            </w:hyperlink>
            <w:r w:rsidR="001A5145" w:rsidRPr="001A5145">
              <w:rPr>
                <w:sz w:val="24"/>
              </w:rPr>
              <w:br/>
            </w:r>
            <w:r w:rsidR="001A5145" w:rsidRPr="001A5145">
              <w:rPr>
                <w:sz w:val="24"/>
              </w:rPr>
              <w:br/>
            </w:r>
            <w:hyperlink r:id="rId11" w:history="1">
              <w:r w:rsidR="001A5145" w:rsidRPr="001A5145">
                <w:rPr>
                  <w:rStyle w:val="Hyperlink"/>
                  <w:rFonts w:cs="Georgia"/>
                  <w:sz w:val="24"/>
                  <w:szCs w:val="32"/>
                </w:rPr>
                <w:t>http://thomasnastcartoons.com/2014/04/16/nativism/</w:t>
              </w:r>
            </w:hyperlink>
          </w:p>
          <w:p w:rsidR="0062518A" w:rsidRPr="001A5145" w:rsidRDefault="0062518A" w:rsidP="009C3D0C">
            <w:pPr>
              <w:tabs>
                <w:tab w:val="right" w:pos="3960"/>
              </w:tabs>
              <w:rPr>
                <w:sz w:val="24"/>
              </w:rPr>
            </w:pPr>
          </w:p>
          <w:p w:rsidR="0062518A" w:rsidRPr="001A5145" w:rsidRDefault="004A588D" w:rsidP="009C3D0C">
            <w:pPr>
              <w:tabs>
                <w:tab w:val="right" w:pos="3960"/>
              </w:tabs>
              <w:rPr>
                <w:sz w:val="24"/>
              </w:rPr>
            </w:pPr>
            <w:hyperlink r:id="rId12" w:history="1">
              <w:r w:rsidR="0062518A" w:rsidRPr="001A5145">
                <w:rPr>
                  <w:rStyle w:val="Hyperlink"/>
                  <w:sz w:val="24"/>
                </w:rPr>
                <w:t>http://janmstore.com/products/stand-up-for-justice-dvd</w:t>
              </w:r>
            </w:hyperlink>
          </w:p>
          <w:p w:rsidR="0062518A" w:rsidRPr="00042DA9" w:rsidRDefault="0062518A" w:rsidP="009C3D0C">
            <w:pPr>
              <w:tabs>
                <w:tab w:val="right" w:pos="3960"/>
              </w:tabs>
              <w:rPr>
                <w:sz w:val="24"/>
              </w:rPr>
            </w:pPr>
            <w:r w:rsidRPr="001A5145">
              <w:rPr>
                <w:sz w:val="24"/>
              </w:rPr>
              <w:t xml:space="preserve">Stand Up For Justice:  The Ralph </w:t>
            </w:r>
            <w:proofErr w:type="spellStart"/>
            <w:r w:rsidRPr="001A5145">
              <w:rPr>
                <w:sz w:val="24"/>
              </w:rPr>
              <w:t>Lazo</w:t>
            </w:r>
            <w:proofErr w:type="spellEnd"/>
            <w:r w:rsidRPr="001A5145">
              <w:rPr>
                <w:sz w:val="24"/>
              </w:rPr>
              <w:t xml:space="preserve"> story. I have the video and curriculum materials that accompany this short 30 minute film. </w:t>
            </w:r>
            <w:r w:rsidRPr="001A5145">
              <w:rPr>
                <w:sz w:val="24"/>
              </w:rPr>
              <w:br/>
            </w:r>
            <w:r w:rsidRPr="00042DA9">
              <w:rPr>
                <w:sz w:val="24"/>
              </w:rPr>
              <w:br/>
            </w:r>
            <w:hyperlink r:id="rId13" w:history="1">
              <w:r w:rsidRPr="00042DA9">
                <w:rPr>
                  <w:rStyle w:val="Hyperlink"/>
                  <w:sz w:val="24"/>
                </w:rPr>
                <w:t>https://sheg.stanford.edu/zoot-suit-riots</w:t>
              </w:r>
            </w:hyperlink>
          </w:p>
          <w:p w:rsidR="0062518A" w:rsidRPr="00042DA9" w:rsidRDefault="0062518A" w:rsidP="009C3D0C">
            <w:pPr>
              <w:tabs>
                <w:tab w:val="right" w:pos="3960"/>
              </w:tabs>
              <w:rPr>
                <w:sz w:val="24"/>
              </w:rPr>
            </w:pPr>
          </w:p>
          <w:p w:rsidR="0062518A" w:rsidRPr="00042DA9" w:rsidRDefault="004A588D" w:rsidP="009C3D0C">
            <w:pPr>
              <w:tabs>
                <w:tab w:val="right" w:pos="3960"/>
              </w:tabs>
              <w:rPr>
                <w:sz w:val="24"/>
              </w:rPr>
            </w:pPr>
            <w:hyperlink r:id="rId14" w:history="1">
              <w:r w:rsidR="0062518A" w:rsidRPr="00042DA9">
                <w:rPr>
                  <w:rStyle w:val="Hyperlink"/>
                  <w:sz w:val="24"/>
                </w:rPr>
                <w:t>http://www.thenation.com/article/155641/nativists-get-tea-party-makeover#</w:t>
              </w:r>
            </w:hyperlink>
          </w:p>
          <w:p w:rsidR="00347638" w:rsidRPr="00042DA9" w:rsidRDefault="00347638" w:rsidP="009C3D0C">
            <w:pPr>
              <w:tabs>
                <w:tab w:val="right" w:pos="3960"/>
              </w:tabs>
              <w:rPr>
                <w:sz w:val="24"/>
              </w:rPr>
            </w:pPr>
          </w:p>
          <w:p w:rsidR="00347638" w:rsidRPr="00042DA9" w:rsidRDefault="004A588D" w:rsidP="009C3D0C">
            <w:pPr>
              <w:tabs>
                <w:tab w:val="right" w:pos="3960"/>
              </w:tabs>
              <w:rPr>
                <w:sz w:val="24"/>
              </w:rPr>
            </w:pPr>
            <w:hyperlink r:id="rId15" w:history="1">
              <w:r w:rsidR="00347638" w:rsidRPr="00042DA9">
                <w:rPr>
                  <w:rStyle w:val="Hyperlink"/>
                  <w:sz w:val="24"/>
                </w:rPr>
                <w:t>http://www.splcenter.org/get-informed/intelligence-report/browse-all-issues/2011/spring/the-year-in-nativism</w:t>
              </w:r>
            </w:hyperlink>
          </w:p>
          <w:p w:rsidR="0062518A" w:rsidRPr="00042DA9" w:rsidRDefault="0062518A" w:rsidP="009C3D0C">
            <w:pPr>
              <w:tabs>
                <w:tab w:val="right" w:pos="3960"/>
              </w:tabs>
              <w:rPr>
                <w:sz w:val="24"/>
              </w:rPr>
            </w:pPr>
            <w:r w:rsidRPr="00042DA9">
              <w:rPr>
                <w:sz w:val="24"/>
              </w:rPr>
              <w:br/>
            </w:r>
            <w:hyperlink r:id="rId16" w:history="1">
              <w:r w:rsidRPr="00042DA9">
                <w:rPr>
                  <w:rStyle w:val="Hyperlink"/>
                  <w:sz w:val="24"/>
                </w:rPr>
                <w:t>http://www.monroepadems.com/EasyBlog/the-tea-party-and-nativism-1</w:t>
              </w:r>
            </w:hyperlink>
          </w:p>
          <w:p w:rsidR="00042BE5" w:rsidRPr="00042DA9" w:rsidRDefault="00042BE5" w:rsidP="009C3D0C">
            <w:pPr>
              <w:tabs>
                <w:tab w:val="right" w:pos="3960"/>
              </w:tabs>
              <w:rPr>
                <w:sz w:val="24"/>
              </w:rPr>
            </w:pPr>
            <w:r w:rsidRPr="00042DA9">
              <w:rPr>
                <w:sz w:val="24"/>
              </w:rPr>
              <w:br/>
            </w:r>
            <w:hyperlink r:id="rId17" w:history="1">
              <w:r w:rsidRPr="00042DA9">
                <w:rPr>
                  <w:rStyle w:val="Hyperlink"/>
                  <w:sz w:val="24"/>
                </w:rPr>
                <w:t>http://www.nytimes.com/video/world/europe/100000000769956/tc-041111-france.html</w:t>
              </w:r>
            </w:hyperlink>
          </w:p>
          <w:p w:rsidR="00042BE5" w:rsidRPr="00042DA9" w:rsidRDefault="00042BE5" w:rsidP="009C3D0C">
            <w:pPr>
              <w:tabs>
                <w:tab w:val="right" w:pos="3960"/>
              </w:tabs>
              <w:rPr>
                <w:sz w:val="24"/>
              </w:rPr>
            </w:pPr>
          </w:p>
          <w:p w:rsidR="00042BE5" w:rsidRPr="00042DA9" w:rsidRDefault="004A588D" w:rsidP="009C3D0C">
            <w:pPr>
              <w:tabs>
                <w:tab w:val="right" w:pos="3960"/>
              </w:tabs>
              <w:rPr>
                <w:sz w:val="24"/>
              </w:rPr>
            </w:pPr>
            <w:hyperlink r:id="rId18" w:history="1">
              <w:r w:rsidR="00042BE5" w:rsidRPr="00042DA9">
                <w:rPr>
                  <w:rStyle w:val="Hyperlink"/>
                  <w:sz w:val="24"/>
                </w:rPr>
                <w:t>http://www.nytimes.com/2011/04/17/weekinreview/17BURQA.html?_r=1&amp;</w:t>
              </w:r>
            </w:hyperlink>
          </w:p>
          <w:p w:rsidR="00042BE5" w:rsidRPr="00042DA9" w:rsidRDefault="00042BE5" w:rsidP="009C3D0C">
            <w:pPr>
              <w:tabs>
                <w:tab w:val="right" w:pos="3960"/>
              </w:tabs>
              <w:rPr>
                <w:sz w:val="24"/>
              </w:rPr>
            </w:pPr>
          </w:p>
          <w:p w:rsidR="00042BE5" w:rsidRPr="00042DA9" w:rsidRDefault="004A588D" w:rsidP="009C3D0C">
            <w:pPr>
              <w:tabs>
                <w:tab w:val="right" w:pos="3960"/>
              </w:tabs>
              <w:rPr>
                <w:sz w:val="24"/>
              </w:rPr>
            </w:pPr>
            <w:hyperlink r:id="rId19" w:history="1">
              <w:r w:rsidR="00042BE5" w:rsidRPr="00042DA9">
                <w:rPr>
                  <w:rStyle w:val="Hyperlink"/>
                  <w:sz w:val="24"/>
                </w:rPr>
                <w:t>http://www.economist.com/blogs/economist-explains/2014/07/economist-explains-2</w:t>
              </w:r>
            </w:hyperlink>
          </w:p>
          <w:p w:rsidR="00042BE5" w:rsidRPr="00042DA9" w:rsidRDefault="00042BE5" w:rsidP="009C3D0C">
            <w:pPr>
              <w:tabs>
                <w:tab w:val="right" w:pos="3960"/>
              </w:tabs>
              <w:rPr>
                <w:sz w:val="24"/>
              </w:rPr>
            </w:pPr>
          </w:p>
          <w:p w:rsidR="00042BE5" w:rsidRPr="00042DA9" w:rsidRDefault="004A588D" w:rsidP="009C3D0C">
            <w:pPr>
              <w:tabs>
                <w:tab w:val="right" w:pos="3960"/>
              </w:tabs>
              <w:rPr>
                <w:sz w:val="24"/>
              </w:rPr>
            </w:pPr>
            <w:hyperlink r:id="rId20" w:history="1">
              <w:r w:rsidR="00042BE5" w:rsidRPr="00042DA9">
                <w:rPr>
                  <w:rStyle w:val="Hyperlink"/>
                  <w:sz w:val="24"/>
                </w:rPr>
                <w:t>http://www.theguardian.com/world/2013/jul/22/frances-headscarf-war-attack-on-freedom</w:t>
              </w:r>
            </w:hyperlink>
          </w:p>
          <w:p w:rsidR="00042BE5" w:rsidRPr="00042DA9" w:rsidRDefault="00042BE5" w:rsidP="009C3D0C">
            <w:pPr>
              <w:tabs>
                <w:tab w:val="right" w:pos="3960"/>
              </w:tabs>
              <w:rPr>
                <w:sz w:val="24"/>
              </w:rPr>
            </w:pPr>
          </w:p>
          <w:p w:rsidR="00042BE5" w:rsidRPr="00042DA9" w:rsidRDefault="004A588D" w:rsidP="009C3D0C">
            <w:pPr>
              <w:tabs>
                <w:tab w:val="right" w:pos="3960"/>
              </w:tabs>
              <w:rPr>
                <w:sz w:val="24"/>
              </w:rPr>
            </w:pPr>
            <w:hyperlink r:id="rId21" w:history="1">
              <w:r w:rsidR="00042BE5" w:rsidRPr="00042DA9">
                <w:rPr>
                  <w:rStyle w:val="Hyperlink"/>
                  <w:sz w:val="24"/>
                </w:rPr>
                <w:t>http://www.theguardian.com/world/2014/jul/01/france-burqa-ban-upheld-human-rights-court</w:t>
              </w:r>
            </w:hyperlink>
          </w:p>
          <w:p w:rsidR="00042BE5" w:rsidRPr="00042DA9" w:rsidRDefault="00042BE5" w:rsidP="009C3D0C">
            <w:pPr>
              <w:tabs>
                <w:tab w:val="right" w:pos="3960"/>
              </w:tabs>
              <w:rPr>
                <w:sz w:val="24"/>
              </w:rPr>
            </w:pPr>
          </w:p>
          <w:p w:rsidR="00042BE5" w:rsidRPr="00042DA9" w:rsidRDefault="004A588D" w:rsidP="009C3D0C">
            <w:pPr>
              <w:tabs>
                <w:tab w:val="right" w:pos="3960"/>
              </w:tabs>
              <w:rPr>
                <w:sz w:val="24"/>
              </w:rPr>
            </w:pPr>
            <w:hyperlink r:id="rId22" w:history="1">
              <w:r w:rsidR="00042BE5" w:rsidRPr="00042DA9">
                <w:rPr>
                  <w:rStyle w:val="Hyperlink"/>
                  <w:sz w:val="24"/>
                </w:rPr>
                <w:t>http://www.bbc.com/news/world-europe-25118160</w:t>
              </w:r>
            </w:hyperlink>
          </w:p>
          <w:p w:rsidR="00042BE5" w:rsidRPr="00042DA9" w:rsidRDefault="00042BE5" w:rsidP="009C3D0C">
            <w:pPr>
              <w:tabs>
                <w:tab w:val="right" w:pos="3960"/>
              </w:tabs>
              <w:rPr>
                <w:sz w:val="24"/>
              </w:rPr>
            </w:pPr>
          </w:p>
          <w:p w:rsidR="00042BE5" w:rsidRPr="00042DA9" w:rsidRDefault="00042BE5" w:rsidP="009C3D0C">
            <w:pPr>
              <w:tabs>
                <w:tab w:val="right" w:pos="3960"/>
              </w:tabs>
              <w:rPr>
                <w:sz w:val="24"/>
              </w:rPr>
            </w:pPr>
          </w:p>
          <w:p w:rsidR="00042BE5" w:rsidRPr="00042DA9" w:rsidRDefault="00042BE5" w:rsidP="009C3D0C">
            <w:pPr>
              <w:tabs>
                <w:tab w:val="right" w:pos="3960"/>
              </w:tabs>
              <w:rPr>
                <w:sz w:val="24"/>
              </w:rPr>
            </w:pPr>
          </w:p>
          <w:p w:rsidR="00042BE5" w:rsidRPr="00042DA9" w:rsidRDefault="00042BE5" w:rsidP="009C3D0C">
            <w:pPr>
              <w:tabs>
                <w:tab w:val="right" w:pos="3960"/>
              </w:tabs>
              <w:rPr>
                <w:sz w:val="24"/>
              </w:rPr>
            </w:pPr>
          </w:p>
          <w:p w:rsidR="00AF7BBF" w:rsidRPr="000148E3" w:rsidRDefault="00AF7BBF" w:rsidP="009C3D0C">
            <w:pPr>
              <w:tabs>
                <w:tab w:val="right" w:pos="3960"/>
              </w:tabs>
            </w:pPr>
          </w:p>
        </w:tc>
        <w:tc>
          <w:tcPr>
            <w:tcW w:w="8784" w:type="dxa"/>
            <w:gridSpan w:val="2"/>
            <w:shd w:val="clear" w:color="auto" w:fill="D9D9D9" w:themeFill="background1" w:themeFillShade="D9"/>
          </w:tcPr>
          <w:p w:rsidR="00AF7BBF" w:rsidRPr="005D00EF" w:rsidRDefault="00AF7BBF" w:rsidP="001C6467">
            <w:pPr>
              <w:jc w:val="center"/>
              <w:rPr>
                <w:b/>
                <w:i/>
              </w:rPr>
            </w:pPr>
            <w:r w:rsidRPr="005D00EF">
              <w:rPr>
                <w:b/>
                <w:i/>
              </w:rPr>
              <w:lastRenderedPageBreak/>
              <w:t>Transfer</w:t>
            </w:r>
            <w:r>
              <w:rPr>
                <w:b/>
                <w:i/>
              </w:rPr>
              <w:t xml:space="preserve"> </w:t>
            </w:r>
          </w:p>
        </w:tc>
      </w:tr>
      <w:tr w:rsidR="00AF7BBF">
        <w:tc>
          <w:tcPr>
            <w:tcW w:w="4392" w:type="dxa"/>
            <w:vMerge/>
          </w:tcPr>
          <w:p w:rsidR="00AF7BBF" w:rsidRDefault="00AF7BBF" w:rsidP="001C6467"/>
        </w:tc>
        <w:tc>
          <w:tcPr>
            <w:tcW w:w="8784" w:type="dxa"/>
            <w:gridSpan w:val="2"/>
            <w:tcBorders>
              <w:bottom w:val="single" w:sz="4" w:space="0" w:color="000000" w:themeColor="text1"/>
            </w:tcBorders>
          </w:tcPr>
          <w:p w:rsidR="00AF7BBF" w:rsidRPr="00042DA9" w:rsidRDefault="00AF7BBF" w:rsidP="001C6467">
            <w:pPr>
              <w:tabs>
                <w:tab w:val="right" w:pos="8388"/>
              </w:tabs>
              <w:rPr>
                <w:sz w:val="24"/>
              </w:rPr>
            </w:pPr>
            <w:r w:rsidRPr="00042DA9">
              <w:rPr>
                <w:i/>
                <w:sz w:val="24"/>
              </w:rPr>
              <w:t>Students will be able to independently use their learning to…(real world purpose)</w:t>
            </w:r>
            <w:r w:rsidRPr="00042DA9">
              <w:rPr>
                <w:i/>
                <w:sz w:val="24"/>
              </w:rPr>
              <w:tab/>
            </w:r>
          </w:p>
          <w:p w:rsidR="006D0289" w:rsidRPr="00042DA9" w:rsidRDefault="006D0289" w:rsidP="00112D9E">
            <w:pPr>
              <w:spacing w:beforeLines="1" w:afterLines="1"/>
              <w:rPr>
                <w:rFonts w:ascii="Calibri" w:hAnsi="Calibri" w:cs="Times New Roman"/>
                <w:sz w:val="24"/>
                <w:lang w:eastAsia="en-US"/>
              </w:rPr>
            </w:pPr>
            <w:r w:rsidRPr="00042DA9">
              <w:rPr>
                <w:rFonts w:ascii="Calibri" w:hAnsi="Calibri" w:cs="Times New Roman"/>
                <w:sz w:val="24"/>
                <w:lang w:eastAsia="en-US"/>
              </w:rPr>
              <w:t>T1. Investigate the world beyond their immediate environment.</w:t>
            </w:r>
          </w:p>
          <w:p w:rsidR="006D0289" w:rsidRPr="00042DA9" w:rsidRDefault="006D0289" w:rsidP="00112D9E">
            <w:pPr>
              <w:spacing w:beforeLines="1" w:afterLines="1"/>
              <w:rPr>
                <w:rFonts w:ascii="Times" w:hAnsi="Times" w:cs="Times New Roman"/>
                <w:sz w:val="24"/>
                <w:szCs w:val="20"/>
                <w:lang w:eastAsia="en-US"/>
              </w:rPr>
            </w:pPr>
            <w:r w:rsidRPr="00042DA9">
              <w:rPr>
                <w:rFonts w:ascii="Calibri" w:hAnsi="Calibri" w:cs="Times New Roman"/>
                <w:sz w:val="24"/>
                <w:lang w:eastAsia="en-US"/>
              </w:rPr>
              <w:t>T2. Recognize Perspectives.</w:t>
            </w:r>
            <w:r w:rsidRPr="00042DA9">
              <w:rPr>
                <w:rFonts w:ascii="Calibri" w:hAnsi="Calibri" w:cs="Times New Roman"/>
                <w:sz w:val="24"/>
                <w:lang w:eastAsia="en-US"/>
              </w:rPr>
              <w:br/>
              <w:t xml:space="preserve">T3. Communicate ideas effectively with a diverse audience. </w:t>
            </w:r>
            <w:r w:rsidR="00CC66E9" w:rsidRPr="00042DA9">
              <w:rPr>
                <w:rFonts w:ascii="Calibri" w:hAnsi="Calibri" w:cs="Times New Roman"/>
                <w:sz w:val="24"/>
                <w:lang w:eastAsia="en-US"/>
              </w:rPr>
              <w:br/>
              <w:t xml:space="preserve">T4:  </w:t>
            </w:r>
            <w:r w:rsidR="00CC66E9" w:rsidRPr="00042DA9">
              <w:rPr>
                <w:rFonts w:ascii="Calibri" w:hAnsi="Calibri"/>
                <w:sz w:val="24"/>
              </w:rPr>
              <w:t xml:space="preserve">Respect differences among people of a variety of cultural and regional backgrounds. </w:t>
            </w:r>
            <w:r w:rsidR="00CC66E9" w:rsidRPr="00042DA9">
              <w:rPr>
                <w:rFonts w:ascii="Calibri" w:hAnsi="Calibri"/>
                <w:sz w:val="24"/>
              </w:rPr>
              <w:br/>
              <w:t xml:space="preserve">T5:  Make connections between “here” and “there”. </w:t>
            </w:r>
          </w:p>
          <w:p w:rsidR="008C2F73" w:rsidRDefault="008C2F73" w:rsidP="009C3D0C">
            <w:pPr>
              <w:tabs>
                <w:tab w:val="right" w:pos="8388"/>
              </w:tabs>
            </w:pPr>
          </w:p>
          <w:p w:rsidR="009C3D0C" w:rsidRDefault="009C3D0C" w:rsidP="009C3D0C">
            <w:pPr>
              <w:tabs>
                <w:tab w:val="right" w:pos="8388"/>
              </w:tabs>
            </w:pPr>
          </w:p>
          <w:p w:rsidR="009C3D0C" w:rsidRPr="001518D3" w:rsidRDefault="009C3D0C" w:rsidP="009C3D0C">
            <w:pPr>
              <w:tabs>
                <w:tab w:val="right" w:pos="8388"/>
              </w:tabs>
            </w:pPr>
          </w:p>
        </w:tc>
      </w:tr>
      <w:tr w:rsidR="00AF7BBF">
        <w:tc>
          <w:tcPr>
            <w:tcW w:w="4392" w:type="dxa"/>
            <w:vMerge/>
          </w:tcPr>
          <w:p w:rsidR="00AF7BBF" w:rsidRDefault="00AF7BBF" w:rsidP="001C6467"/>
        </w:tc>
        <w:tc>
          <w:tcPr>
            <w:tcW w:w="8784" w:type="dxa"/>
            <w:gridSpan w:val="2"/>
            <w:shd w:val="clear" w:color="auto" w:fill="D9D9D9" w:themeFill="background1" w:themeFillShade="D9"/>
          </w:tcPr>
          <w:p w:rsidR="00AF7BBF" w:rsidRPr="005D00EF" w:rsidRDefault="00AF7BBF" w:rsidP="001C6467">
            <w:pPr>
              <w:jc w:val="center"/>
              <w:rPr>
                <w:b/>
                <w:i/>
              </w:rPr>
            </w:pPr>
            <w:r w:rsidRPr="005D00EF">
              <w:rPr>
                <w:b/>
                <w:i/>
              </w:rPr>
              <w:t>Meaning</w:t>
            </w:r>
          </w:p>
        </w:tc>
      </w:tr>
      <w:tr w:rsidR="00AF7BBF">
        <w:tc>
          <w:tcPr>
            <w:tcW w:w="4392" w:type="dxa"/>
            <w:vMerge/>
          </w:tcPr>
          <w:p w:rsidR="00AF7BBF" w:rsidRDefault="00AF7BBF" w:rsidP="001C6467"/>
        </w:tc>
        <w:tc>
          <w:tcPr>
            <w:tcW w:w="4392" w:type="dxa"/>
            <w:tcBorders>
              <w:bottom w:val="single" w:sz="4" w:space="0" w:color="000000" w:themeColor="text1"/>
            </w:tcBorders>
          </w:tcPr>
          <w:p w:rsidR="00AF7BBF" w:rsidRPr="00042DA9" w:rsidRDefault="00AF7BBF" w:rsidP="001C6467">
            <w:pPr>
              <w:tabs>
                <w:tab w:val="right" w:pos="4075"/>
              </w:tabs>
              <w:rPr>
                <w:sz w:val="24"/>
              </w:rPr>
            </w:pPr>
            <w:r w:rsidRPr="00042DA9">
              <w:rPr>
                <w:sz w:val="24"/>
              </w:rPr>
              <w:t>UNDERSTANDINGS</w:t>
            </w:r>
            <w:r w:rsidRPr="00042DA9">
              <w:rPr>
                <w:sz w:val="24"/>
              </w:rPr>
              <w:tab/>
            </w:r>
          </w:p>
          <w:p w:rsidR="006D0289" w:rsidRPr="00042DA9" w:rsidRDefault="00AF7BBF" w:rsidP="001C6467">
            <w:pPr>
              <w:rPr>
                <w:i/>
                <w:sz w:val="24"/>
              </w:rPr>
            </w:pPr>
            <w:r w:rsidRPr="00042DA9">
              <w:rPr>
                <w:i/>
                <w:sz w:val="24"/>
              </w:rPr>
              <w:t>Students will understand that…</w:t>
            </w:r>
          </w:p>
          <w:p w:rsidR="006D0289" w:rsidRPr="00042DA9" w:rsidRDefault="006D0289" w:rsidP="001C6467">
            <w:pPr>
              <w:rPr>
                <w:sz w:val="24"/>
              </w:rPr>
            </w:pPr>
          </w:p>
          <w:p w:rsidR="00C55CFE" w:rsidRPr="00042DA9" w:rsidRDefault="006D0289" w:rsidP="00C55CFE">
            <w:pPr>
              <w:rPr>
                <w:sz w:val="24"/>
              </w:rPr>
            </w:pPr>
            <w:r w:rsidRPr="00042DA9">
              <w:rPr>
                <w:sz w:val="24"/>
              </w:rPr>
              <w:t xml:space="preserve">U1:  Xenophobia is a global </w:t>
            </w:r>
            <w:r w:rsidR="000148E3" w:rsidRPr="00042DA9">
              <w:rPr>
                <w:sz w:val="24"/>
              </w:rPr>
              <w:t>phenomenon</w:t>
            </w:r>
            <w:r w:rsidRPr="00042DA9">
              <w:rPr>
                <w:sz w:val="24"/>
              </w:rPr>
              <w:t xml:space="preserve"> that exist across time and space.</w:t>
            </w:r>
          </w:p>
          <w:p w:rsidR="00C55CFE" w:rsidRPr="00042DA9" w:rsidRDefault="00C55CFE" w:rsidP="00C55CFE">
            <w:pPr>
              <w:rPr>
                <w:sz w:val="24"/>
              </w:rPr>
            </w:pPr>
            <w:r w:rsidRPr="00042DA9">
              <w:rPr>
                <w:rFonts w:ascii="Calibri" w:hAnsi="Calibri"/>
                <w:sz w:val="24"/>
              </w:rPr>
              <w:t>U2:</w:t>
            </w:r>
            <w:r w:rsidR="006D0289" w:rsidRPr="00042DA9">
              <w:rPr>
                <w:rFonts w:ascii="Calibri" w:hAnsi="Calibri"/>
                <w:sz w:val="24"/>
              </w:rPr>
              <w:t xml:space="preserve"> Members of different</w:t>
            </w:r>
            <w:r w:rsidRPr="00042DA9">
              <w:rPr>
                <w:rFonts w:ascii="Calibri" w:hAnsi="Calibri"/>
                <w:sz w:val="24"/>
              </w:rPr>
              <w:t xml:space="preserve"> nation-states</w:t>
            </w:r>
            <w:r w:rsidR="006D0289" w:rsidRPr="00042DA9">
              <w:rPr>
                <w:rFonts w:ascii="Calibri" w:hAnsi="Calibri"/>
                <w:sz w:val="24"/>
              </w:rPr>
              <w:t xml:space="preserve"> can share </w:t>
            </w:r>
            <w:r w:rsidRPr="00042DA9">
              <w:rPr>
                <w:rFonts w:ascii="Calibri" w:hAnsi="Calibri"/>
                <w:sz w:val="24"/>
              </w:rPr>
              <w:t xml:space="preserve">a common </w:t>
            </w:r>
            <w:r w:rsidRPr="00042DA9">
              <w:rPr>
                <w:rFonts w:ascii="Calibri" w:hAnsi="Calibri"/>
                <w:sz w:val="24"/>
              </w:rPr>
              <w:lastRenderedPageBreak/>
              <w:t>ideology.</w:t>
            </w:r>
            <w:r w:rsidR="006D0289" w:rsidRPr="00042DA9">
              <w:rPr>
                <w:rFonts w:ascii="Calibri" w:hAnsi="Calibri"/>
                <w:sz w:val="24"/>
              </w:rPr>
              <w:t xml:space="preserve"> </w:t>
            </w:r>
          </w:p>
          <w:p w:rsidR="006D0289" w:rsidRPr="00042DA9" w:rsidRDefault="006D0289" w:rsidP="006D0289">
            <w:pPr>
              <w:pStyle w:val="NormalWeb"/>
              <w:spacing w:before="2" w:after="2"/>
              <w:rPr>
                <w:sz w:val="24"/>
              </w:rPr>
            </w:pPr>
          </w:p>
          <w:p w:rsidR="00AF7BBF" w:rsidRPr="00042DA9" w:rsidRDefault="00AF7BBF" w:rsidP="001C6467">
            <w:pPr>
              <w:rPr>
                <w:sz w:val="24"/>
              </w:rPr>
            </w:pPr>
          </w:p>
          <w:p w:rsidR="00494E54" w:rsidRPr="00042DA9" w:rsidRDefault="008C2F73" w:rsidP="009C3D0C">
            <w:pPr>
              <w:pStyle w:val="ListParagraph"/>
              <w:rPr>
                <w:sz w:val="24"/>
              </w:rPr>
            </w:pPr>
            <w:r w:rsidRPr="00042DA9">
              <w:rPr>
                <w:sz w:val="24"/>
              </w:rPr>
              <w:t xml:space="preserve"> </w:t>
            </w:r>
          </w:p>
        </w:tc>
        <w:tc>
          <w:tcPr>
            <w:tcW w:w="4392" w:type="dxa"/>
            <w:tcBorders>
              <w:bottom w:val="single" w:sz="4" w:space="0" w:color="000000" w:themeColor="text1"/>
            </w:tcBorders>
          </w:tcPr>
          <w:p w:rsidR="00AF7BBF" w:rsidRPr="00042DA9" w:rsidRDefault="00AF7BBF" w:rsidP="001C6467">
            <w:pPr>
              <w:tabs>
                <w:tab w:val="right" w:pos="4016"/>
              </w:tabs>
              <w:rPr>
                <w:sz w:val="24"/>
              </w:rPr>
            </w:pPr>
            <w:r w:rsidRPr="00042DA9">
              <w:rPr>
                <w:sz w:val="24"/>
              </w:rPr>
              <w:lastRenderedPageBreak/>
              <w:t>ESSENTIAL QUESTIONS</w:t>
            </w:r>
            <w:r w:rsidRPr="00042DA9">
              <w:rPr>
                <w:sz w:val="24"/>
              </w:rPr>
              <w:tab/>
            </w:r>
          </w:p>
          <w:p w:rsidR="00C55CFE" w:rsidRPr="00042DA9" w:rsidRDefault="00C55CFE" w:rsidP="009C3D0C">
            <w:pPr>
              <w:pStyle w:val="ListParagraph"/>
              <w:tabs>
                <w:tab w:val="right" w:pos="4016"/>
              </w:tabs>
              <w:rPr>
                <w:sz w:val="24"/>
              </w:rPr>
            </w:pPr>
          </w:p>
          <w:p w:rsidR="00C55CFE" w:rsidRPr="00042DA9" w:rsidRDefault="00C55CFE" w:rsidP="009C3D0C">
            <w:pPr>
              <w:pStyle w:val="ListParagraph"/>
              <w:tabs>
                <w:tab w:val="right" w:pos="4016"/>
              </w:tabs>
              <w:rPr>
                <w:sz w:val="24"/>
              </w:rPr>
            </w:pPr>
            <w:r w:rsidRPr="00042DA9">
              <w:rPr>
                <w:sz w:val="24"/>
              </w:rPr>
              <w:t>E1:  What factors contribute to xenophobia?</w:t>
            </w:r>
          </w:p>
          <w:p w:rsidR="00CC66E9" w:rsidRPr="00042DA9" w:rsidRDefault="00C55CFE" w:rsidP="00C55CFE">
            <w:pPr>
              <w:pStyle w:val="ListParagraph"/>
              <w:tabs>
                <w:tab w:val="right" w:pos="4016"/>
              </w:tabs>
              <w:rPr>
                <w:sz w:val="24"/>
              </w:rPr>
            </w:pPr>
            <w:r w:rsidRPr="00042DA9">
              <w:rPr>
                <w:sz w:val="24"/>
              </w:rPr>
              <w:t xml:space="preserve">E2:  How has the American nativist movement impacted the </w:t>
            </w:r>
            <w:r w:rsidRPr="00042DA9">
              <w:rPr>
                <w:sz w:val="24"/>
              </w:rPr>
              <w:lastRenderedPageBreak/>
              <w:t xml:space="preserve">Latino community? </w:t>
            </w:r>
            <w:r w:rsidR="00CC66E9" w:rsidRPr="00042DA9">
              <w:rPr>
                <w:sz w:val="24"/>
              </w:rPr>
              <w:br/>
              <w:t xml:space="preserve">E3:  How is xenophobia a global </w:t>
            </w:r>
            <w:proofErr w:type="gramStart"/>
            <w:r w:rsidR="00CC66E9" w:rsidRPr="00042DA9">
              <w:rPr>
                <w:sz w:val="24"/>
              </w:rPr>
              <w:t>phenomena</w:t>
            </w:r>
            <w:proofErr w:type="gramEnd"/>
            <w:r w:rsidR="00CC66E9" w:rsidRPr="00042DA9">
              <w:rPr>
                <w:sz w:val="24"/>
              </w:rPr>
              <w:t>?</w:t>
            </w:r>
          </w:p>
          <w:p w:rsidR="00F62418" w:rsidRPr="00042DA9" w:rsidRDefault="00CC66E9" w:rsidP="00C55CFE">
            <w:pPr>
              <w:pStyle w:val="ListParagraph"/>
              <w:tabs>
                <w:tab w:val="right" w:pos="4016"/>
              </w:tabs>
              <w:rPr>
                <w:sz w:val="24"/>
              </w:rPr>
            </w:pPr>
            <w:r w:rsidRPr="00042DA9">
              <w:rPr>
                <w:sz w:val="24"/>
              </w:rPr>
              <w:t>E5:  What were the views of Progressive Social Reformers towards immigrants?</w:t>
            </w:r>
          </w:p>
          <w:p w:rsidR="00C55CFE" w:rsidRPr="00042DA9" w:rsidRDefault="00F62418" w:rsidP="00C55CFE">
            <w:pPr>
              <w:pStyle w:val="ListParagraph"/>
              <w:tabs>
                <w:tab w:val="right" w:pos="4016"/>
              </w:tabs>
              <w:rPr>
                <w:sz w:val="24"/>
              </w:rPr>
            </w:pPr>
            <w:r w:rsidRPr="00042DA9">
              <w:rPr>
                <w:sz w:val="24"/>
              </w:rPr>
              <w:t>E6:  What are specific examples of xenophobia in other countries in the contemporary period?</w:t>
            </w:r>
            <w:r w:rsidR="00042BE5" w:rsidRPr="00042DA9">
              <w:rPr>
                <w:sz w:val="24"/>
              </w:rPr>
              <w:br/>
              <w:t>E6:  To what extent is American nativism and xenophobia similar and different to nativism and xenophobia abroad?</w:t>
            </w:r>
          </w:p>
          <w:p w:rsidR="00510B34" w:rsidRPr="00042DA9" w:rsidRDefault="00510B34" w:rsidP="00C55CFE">
            <w:pPr>
              <w:pStyle w:val="ListParagraph"/>
              <w:tabs>
                <w:tab w:val="right" w:pos="4016"/>
              </w:tabs>
              <w:rPr>
                <w:sz w:val="24"/>
              </w:rPr>
            </w:pPr>
          </w:p>
        </w:tc>
      </w:tr>
      <w:tr w:rsidR="00AF7BBF">
        <w:tc>
          <w:tcPr>
            <w:tcW w:w="4392" w:type="dxa"/>
            <w:vMerge/>
          </w:tcPr>
          <w:p w:rsidR="00AF7BBF" w:rsidRDefault="00AF7BBF" w:rsidP="001C6467"/>
        </w:tc>
        <w:tc>
          <w:tcPr>
            <w:tcW w:w="8784" w:type="dxa"/>
            <w:gridSpan w:val="2"/>
            <w:tcBorders>
              <w:bottom w:val="single" w:sz="4" w:space="0" w:color="000000" w:themeColor="text1"/>
            </w:tcBorders>
            <w:shd w:val="clear" w:color="auto" w:fill="D9D9D9" w:themeFill="background1" w:themeFillShade="D9"/>
          </w:tcPr>
          <w:p w:rsidR="00AF7BBF" w:rsidRPr="005D00EF" w:rsidRDefault="00AF7BBF" w:rsidP="001C6467">
            <w:pPr>
              <w:jc w:val="center"/>
              <w:rPr>
                <w:b/>
                <w:i/>
              </w:rPr>
            </w:pPr>
            <w:r w:rsidRPr="005D00EF">
              <w:rPr>
                <w:b/>
                <w:i/>
              </w:rPr>
              <w:t>Acquisition</w:t>
            </w:r>
          </w:p>
        </w:tc>
      </w:tr>
      <w:tr w:rsidR="00AF7BBF">
        <w:tc>
          <w:tcPr>
            <w:tcW w:w="4392" w:type="dxa"/>
            <w:vMerge/>
            <w:tcBorders>
              <w:bottom w:val="single" w:sz="4" w:space="0" w:color="000000" w:themeColor="text1"/>
            </w:tcBorders>
          </w:tcPr>
          <w:p w:rsidR="00AF7BBF" w:rsidRDefault="00AF7BBF" w:rsidP="001C6467"/>
        </w:tc>
        <w:tc>
          <w:tcPr>
            <w:tcW w:w="4392" w:type="dxa"/>
            <w:tcBorders>
              <w:bottom w:val="single" w:sz="4" w:space="0" w:color="000000" w:themeColor="text1"/>
            </w:tcBorders>
          </w:tcPr>
          <w:p w:rsidR="00510B34" w:rsidRPr="00042DA9" w:rsidRDefault="00AF7BBF" w:rsidP="001C6467">
            <w:pPr>
              <w:tabs>
                <w:tab w:val="right" w:pos="4075"/>
              </w:tabs>
              <w:rPr>
                <w:i/>
                <w:sz w:val="24"/>
              </w:rPr>
            </w:pPr>
            <w:r w:rsidRPr="00042DA9">
              <w:rPr>
                <w:i/>
                <w:sz w:val="24"/>
              </w:rPr>
              <w:t>Students will know… (Content)</w:t>
            </w:r>
          </w:p>
          <w:p w:rsidR="00C55CFE" w:rsidRPr="00042DA9" w:rsidRDefault="00510B34" w:rsidP="001C6467">
            <w:pPr>
              <w:tabs>
                <w:tab w:val="right" w:pos="4075"/>
              </w:tabs>
              <w:rPr>
                <w:i/>
                <w:sz w:val="24"/>
              </w:rPr>
            </w:pPr>
            <w:r w:rsidRPr="00042DA9">
              <w:rPr>
                <w:i/>
                <w:sz w:val="24"/>
              </w:rPr>
              <w:t xml:space="preserve"> </w:t>
            </w:r>
          </w:p>
          <w:p w:rsidR="00C55CFE" w:rsidRPr="00042DA9" w:rsidRDefault="00C55CFE" w:rsidP="001C6467">
            <w:pPr>
              <w:tabs>
                <w:tab w:val="right" w:pos="4075"/>
              </w:tabs>
              <w:rPr>
                <w:sz w:val="24"/>
              </w:rPr>
            </w:pPr>
            <w:r w:rsidRPr="00042DA9">
              <w:rPr>
                <w:sz w:val="24"/>
              </w:rPr>
              <w:t xml:space="preserve">K1:  </w:t>
            </w:r>
            <w:r w:rsidR="00F62418" w:rsidRPr="00042DA9">
              <w:rPr>
                <w:sz w:val="24"/>
              </w:rPr>
              <w:t>Contemporary Examples of Xenophobia outside of the United States</w:t>
            </w:r>
          </w:p>
          <w:p w:rsidR="00494E54" w:rsidRPr="00042DA9" w:rsidRDefault="00C55CFE" w:rsidP="001C6467">
            <w:pPr>
              <w:tabs>
                <w:tab w:val="right" w:pos="4075"/>
              </w:tabs>
              <w:rPr>
                <w:sz w:val="24"/>
              </w:rPr>
            </w:pPr>
            <w:r w:rsidRPr="00042DA9">
              <w:rPr>
                <w:sz w:val="24"/>
              </w:rPr>
              <w:t>K2:  American Nativist Movement during the Gilded Age, 1920s, and the contemporary period.</w:t>
            </w:r>
          </w:p>
        </w:tc>
        <w:tc>
          <w:tcPr>
            <w:tcW w:w="4392" w:type="dxa"/>
            <w:tcBorders>
              <w:bottom w:val="single" w:sz="4" w:space="0" w:color="000000" w:themeColor="text1"/>
            </w:tcBorders>
          </w:tcPr>
          <w:p w:rsidR="005C6D76" w:rsidRPr="00042DA9" w:rsidRDefault="00AF7BBF" w:rsidP="001C6467">
            <w:pPr>
              <w:tabs>
                <w:tab w:val="right" w:pos="4003"/>
              </w:tabs>
              <w:rPr>
                <w:sz w:val="24"/>
              </w:rPr>
            </w:pPr>
            <w:r w:rsidRPr="00042DA9">
              <w:rPr>
                <w:i/>
                <w:sz w:val="24"/>
              </w:rPr>
              <w:t>Students will be able to… (Skills)</w:t>
            </w:r>
            <w:r w:rsidRPr="00042DA9">
              <w:rPr>
                <w:i/>
                <w:sz w:val="24"/>
              </w:rPr>
              <w:tab/>
            </w:r>
          </w:p>
          <w:p w:rsidR="00C55CFE" w:rsidRPr="00042DA9" w:rsidRDefault="00C55CFE" w:rsidP="001C6467">
            <w:pPr>
              <w:tabs>
                <w:tab w:val="right" w:pos="4003"/>
              </w:tabs>
              <w:rPr>
                <w:sz w:val="24"/>
              </w:rPr>
            </w:pPr>
            <w:r w:rsidRPr="00042DA9">
              <w:rPr>
                <w:sz w:val="24"/>
              </w:rPr>
              <w:t>S1:  Analyze various sources.</w:t>
            </w:r>
          </w:p>
          <w:p w:rsidR="00C55CFE" w:rsidRPr="00042DA9" w:rsidRDefault="00C55CFE" w:rsidP="001C6467">
            <w:pPr>
              <w:tabs>
                <w:tab w:val="right" w:pos="4003"/>
              </w:tabs>
              <w:rPr>
                <w:sz w:val="24"/>
              </w:rPr>
            </w:pPr>
            <w:r w:rsidRPr="00042DA9">
              <w:rPr>
                <w:sz w:val="24"/>
              </w:rPr>
              <w:t>S2:  Investigate the world beyond their immediate environment.</w:t>
            </w:r>
          </w:p>
          <w:p w:rsidR="00C55CFE" w:rsidRPr="00042DA9" w:rsidRDefault="00C55CFE" w:rsidP="001C6467">
            <w:pPr>
              <w:tabs>
                <w:tab w:val="right" w:pos="4003"/>
              </w:tabs>
              <w:rPr>
                <w:sz w:val="24"/>
              </w:rPr>
            </w:pPr>
            <w:r w:rsidRPr="00042DA9">
              <w:rPr>
                <w:sz w:val="24"/>
              </w:rPr>
              <w:t>S3:  Communicate ideas effectively.</w:t>
            </w:r>
          </w:p>
          <w:p w:rsidR="005C6D76" w:rsidRPr="00042DA9" w:rsidRDefault="00C55CFE" w:rsidP="001C6467">
            <w:pPr>
              <w:tabs>
                <w:tab w:val="right" w:pos="4003"/>
              </w:tabs>
              <w:rPr>
                <w:sz w:val="24"/>
              </w:rPr>
            </w:pPr>
            <w:r w:rsidRPr="00042DA9">
              <w:rPr>
                <w:sz w:val="24"/>
              </w:rPr>
              <w:t>S4:  Read grade level and above grade level texts—both primary and secondary sources / informational text—for purpose, arguments, and implications.</w:t>
            </w: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p w:rsidR="005C6D76" w:rsidRPr="00042DA9" w:rsidRDefault="005C6D76" w:rsidP="001C6467">
            <w:pPr>
              <w:tabs>
                <w:tab w:val="right" w:pos="4003"/>
              </w:tabs>
              <w:rPr>
                <w:sz w:val="24"/>
              </w:rPr>
            </w:pPr>
          </w:p>
        </w:tc>
      </w:tr>
      <w:tr w:rsidR="00AF7BBF">
        <w:tc>
          <w:tcPr>
            <w:tcW w:w="13176" w:type="dxa"/>
            <w:gridSpan w:val="3"/>
            <w:tcBorders>
              <w:bottom w:val="single" w:sz="4" w:space="0" w:color="000000" w:themeColor="text1"/>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tc>
          <w:tcPr>
            <w:tcW w:w="4392" w:type="dxa"/>
            <w:shd w:val="clear" w:color="auto" w:fill="D9D9D9" w:themeFill="background1" w:themeFillShade="D9"/>
          </w:tcPr>
          <w:p w:rsidR="00AF7BBF" w:rsidRPr="005D00EF" w:rsidRDefault="00AF7BBF" w:rsidP="001C6467">
            <w:pPr>
              <w:rPr>
                <w:b/>
              </w:rPr>
            </w:pPr>
            <w:r>
              <w:rPr>
                <w:b/>
              </w:rPr>
              <w:t>Assessment</w:t>
            </w:r>
          </w:p>
        </w:tc>
        <w:tc>
          <w:tcPr>
            <w:tcW w:w="8784" w:type="dxa"/>
            <w:gridSpan w:val="2"/>
            <w:shd w:val="clear" w:color="auto" w:fill="D9D9D9" w:themeFill="background1" w:themeFillShade="D9"/>
          </w:tcPr>
          <w:p w:rsidR="00AF7BBF" w:rsidRPr="005D00EF" w:rsidRDefault="00AF7BBF" w:rsidP="001C6467">
            <w:pPr>
              <w:rPr>
                <w:b/>
              </w:rPr>
            </w:pPr>
            <w:r>
              <w:rPr>
                <w:b/>
              </w:rPr>
              <w:t>Evaluation Criteria (Learning Target or Student Will Be Able To)</w:t>
            </w:r>
          </w:p>
        </w:tc>
      </w:tr>
      <w:tr w:rsidR="00AF7BBF">
        <w:tc>
          <w:tcPr>
            <w:tcW w:w="4392" w:type="dxa"/>
          </w:tcPr>
          <w:p w:rsidR="00494E54" w:rsidRPr="00042DA9" w:rsidRDefault="00AF7BBF" w:rsidP="001C6467">
            <w:pPr>
              <w:rPr>
                <w:sz w:val="24"/>
              </w:rPr>
            </w:pPr>
            <w:r w:rsidRPr="00042DA9">
              <w:rPr>
                <w:sz w:val="24"/>
              </w:rPr>
              <w:t xml:space="preserve">Assessments </w:t>
            </w:r>
            <w:r w:rsidRPr="00042DA9">
              <w:rPr>
                <w:b/>
                <w:sz w:val="24"/>
                <w:u w:val="single"/>
              </w:rPr>
              <w:t>FOR</w:t>
            </w:r>
            <w:r w:rsidRPr="00042DA9">
              <w:rPr>
                <w:sz w:val="24"/>
              </w:rPr>
              <w:t xml:space="preserve"> Learning: (ex:</w:t>
            </w:r>
            <w:r w:rsidR="00494E54" w:rsidRPr="00042DA9">
              <w:rPr>
                <w:sz w:val="24"/>
              </w:rPr>
              <w:t xml:space="preserve"> kwl chart, </w:t>
            </w:r>
            <w:r w:rsidRPr="00042DA9">
              <w:rPr>
                <w:sz w:val="24"/>
              </w:rPr>
              <w:t xml:space="preserve"> exit ticket,</w:t>
            </w:r>
            <w:r w:rsidR="00510B34" w:rsidRPr="00042DA9">
              <w:rPr>
                <w:sz w:val="24"/>
              </w:rPr>
              <w:t xml:space="preserve"> observation, draft, rehearsal)</w:t>
            </w:r>
          </w:p>
          <w:p w:rsidR="00C15B92" w:rsidRPr="00042DA9" w:rsidRDefault="00C15B92" w:rsidP="001C6467">
            <w:pPr>
              <w:rPr>
                <w:sz w:val="24"/>
              </w:rPr>
            </w:pPr>
          </w:p>
          <w:p w:rsidR="00BD08AF" w:rsidRPr="00042DA9" w:rsidRDefault="00BD08AF" w:rsidP="00BD08AF">
            <w:pPr>
              <w:pStyle w:val="NormalWeb"/>
              <w:spacing w:before="2" w:after="2"/>
              <w:rPr>
                <w:rFonts w:asciiTheme="minorHAnsi" w:hAnsiTheme="minorHAnsi"/>
                <w:sz w:val="24"/>
                <w:szCs w:val="22"/>
              </w:rPr>
            </w:pPr>
            <w:r w:rsidRPr="00042DA9">
              <w:rPr>
                <w:rFonts w:asciiTheme="minorHAnsi" w:hAnsiTheme="minorHAnsi"/>
                <w:sz w:val="24"/>
                <w:szCs w:val="22"/>
              </w:rPr>
              <w:t xml:space="preserve">1.  Analyzes primary source documents [both visual and written] and understands 6 key elements for each document:  Subject; Occasion; Audience; Purpose; Speaker; and Historical Significance.  </w:t>
            </w:r>
          </w:p>
          <w:p w:rsidR="00BD08AF" w:rsidRPr="00042DA9" w:rsidRDefault="00BD08AF" w:rsidP="00BD08AF">
            <w:pPr>
              <w:pStyle w:val="NormalWeb"/>
              <w:spacing w:before="2" w:after="2"/>
              <w:ind w:left="360"/>
              <w:rPr>
                <w:rFonts w:asciiTheme="minorHAnsi" w:hAnsiTheme="minorHAnsi"/>
                <w:sz w:val="24"/>
                <w:szCs w:val="22"/>
              </w:rPr>
            </w:pPr>
          </w:p>
          <w:p w:rsidR="00BD08AF" w:rsidRPr="00042DA9" w:rsidRDefault="00BD08AF" w:rsidP="00BD08AF">
            <w:pPr>
              <w:pStyle w:val="NormalWeb"/>
              <w:spacing w:before="2" w:after="2"/>
              <w:rPr>
                <w:rFonts w:asciiTheme="minorHAnsi" w:hAnsiTheme="minorHAnsi"/>
                <w:sz w:val="24"/>
                <w:szCs w:val="22"/>
              </w:rPr>
            </w:pPr>
            <w:r w:rsidRPr="00042DA9">
              <w:rPr>
                <w:rFonts w:asciiTheme="minorHAnsi" w:hAnsiTheme="minorHAnsi"/>
                <w:sz w:val="24"/>
                <w:szCs w:val="22"/>
              </w:rPr>
              <w:t>2.  P</w:t>
            </w:r>
            <w:r w:rsidR="00C15B92" w:rsidRPr="00042DA9">
              <w:rPr>
                <w:rFonts w:asciiTheme="minorHAnsi" w:hAnsiTheme="minorHAnsi"/>
                <w:sz w:val="24"/>
                <w:szCs w:val="22"/>
              </w:rPr>
              <w:t>rovides</w:t>
            </w:r>
            <w:r w:rsidRPr="00042DA9">
              <w:rPr>
                <w:rFonts w:asciiTheme="minorHAnsi" w:hAnsiTheme="minorHAnsi"/>
                <w:sz w:val="24"/>
                <w:szCs w:val="22"/>
              </w:rPr>
              <w:t xml:space="preserve"> appropriate questions upon analyzing primary source documents.</w:t>
            </w:r>
          </w:p>
          <w:p w:rsidR="00BD08AF" w:rsidRPr="00042DA9" w:rsidRDefault="00BD08AF" w:rsidP="00BD08AF">
            <w:pPr>
              <w:pStyle w:val="NormalWeb"/>
              <w:spacing w:before="2" w:after="2"/>
              <w:rPr>
                <w:rFonts w:asciiTheme="minorHAnsi" w:hAnsiTheme="minorHAnsi"/>
                <w:sz w:val="24"/>
                <w:szCs w:val="22"/>
              </w:rPr>
            </w:pPr>
          </w:p>
          <w:p w:rsidR="00BD08AF" w:rsidRPr="00042DA9" w:rsidRDefault="00BD08AF" w:rsidP="00BD08AF">
            <w:pPr>
              <w:pStyle w:val="NormalWeb"/>
              <w:spacing w:before="2" w:after="2"/>
              <w:rPr>
                <w:rFonts w:asciiTheme="minorHAnsi" w:hAnsiTheme="minorHAnsi"/>
                <w:sz w:val="24"/>
                <w:szCs w:val="22"/>
              </w:rPr>
            </w:pPr>
            <w:r w:rsidRPr="00042DA9">
              <w:rPr>
                <w:rFonts w:asciiTheme="minorHAnsi" w:hAnsiTheme="minorHAnsi"/>
                <w:sz w:val="24"/>
                <w:szCs w:val="22"/>
              </w:rPr>
              <w:t>3.  Understands point of view and perspective.</w:t>
            </w:r>
          </w:p>
          <w:p w:rsidR="00C15B92" w:rsidRPr="00042DA9" w:rsidRDefault="00C15B92" w:rsidP="00BD08AF">
            <w:pPr>
              <w:pStyle w:val="NormalWeb"/>
              <w:spacing w:before="2" w:after="2"/>
              <w:rPr>
                <w:rFonts w:asciiTheme="minorHAnsi" w:hAnsiTheme="minorHAnsi"/>
                <w:sz w:val="24"/>
                <w:szCs w:val="22"/>
              </w:rPr>
            </w:pPr>
          </w:p>
          <w:p w:rsidR="00C15B92" w:rsidRPr="00042DA9" w:rsidRDefault="00C15B92" w:rsidP="001C6467">
            <w:pPr>
              <w:rPr>
                <w:sz w:val="24"/>
              </w:rPr>
            </w:pPr>
          </w:p>
          <w:p w:rsidR="00C15B92" w:rsidRPr="00042DA9" w:rsidRDefault="00BD08AF" w:rsidP="00C15B92">
            <w:pPr>
              <w:pStyle w:val="NormalWeb"/>
              <w:spacing w:before="2" w:after="2"/>
              <w:rPr>
                <w:rFonts w:asciiTheme="minorHAnsi" w:hAnsiTheme="minorHAnsi"/>
                <w:sz w:val="24"/>
                <w:szCs w:val="22"/>
              </w:rPr>
            </w:pPr>
            <w:r w:rsidRPr="00042DA9">
              <w:rPr>
                <w:rFonts w:asciiTheme="minorHAnsi" w:hAnsiTheme="minorHAnsi"/>
                <w:sz w:val="24"/>
              </w:rPr>
              <w:t>4</w:t>
            </w:r>
            <w:r w:rsidR="00C15B92" w:rsidRPr="00042DA9">
              <w:rPr>
                <w:rFonts w:asciiTheme="minorHAnsi" w:hAnsiTheme="minorHAnsi"/>
                <w:sz w:val="24"/>
              </w:rPr>
              <w:t xml:space="preserve">.  </w:t>
            </w:r>
            <w:r w:rsidR="00C15B92" w:rsidRPr="00042DA9">
              <w:rPr>
                <w:rFonts w:asciiTheme="minorHAnsi" w:hAnsiTheme="minorHAnsi"/>
                <w:sz w:val="24"/>
                <w:szCs w:val="22"/>
              </w:rPr>
              <w:t xml:space="preserve">Shows accurate research demonstrated in a creative, well- organized manner that is engaging and informative </w:t>
            </w:r>
          </w:p>
          <w:p w:rsidR="00C15B92" w:rsidRPr="00042DA9" w:rsidRDefault="00C15B92" w:rsidP="001C6467">
            <w:pPr>
              <w:rPr>
                <w:sz w:val="24"/>
              </w:rPr>
            </w:pPr>
          </w:p>
          <w:p w:rsidR="00C15B92" w:rsidRPr="00042DA9" w:rsidRDefault="00BD08AF" w:rsidP="00C15B92">
            <w:pPr>
              <w:pStyle w:val="NormalWeb"/>
              <w:spacing w:before="2" w:after="2"/>
              <w:rPr>
                <w:rFonts w:asciiTheme="minorHAnsi" w:hAnsiTheme="minorHAnsi"/>
                <w:sz w:val="24"/>
                <w:szCs w:val="22"/>
              </w:rPr>
            </w:pPr>
            <w:r w:rsidRPr="00042DA9">
              <w:rPr>
                <w:rFonts w:asciiTheme="minorHAnsi" w:hAnsiTheme="minorHAnsi"/>
                <w:sz w:val="24"/>
              </w:rPr>
              <w:t>5</w:t>
            </w:r>
            <w:r w:rsidR="00C15B92" w:rsidRPr="00042DA9">
              <w:rPr>
                <w:rFonts w:asciiTheme="minorHAnsi" w:hAnsiTheme="minorHAnsi"/>
                <w:sz w:val="24"/>
              </w:rPr>
              <w:t xml:space="preserve">. </w:t>
            </w:r>
            <w:r w:rsidR="00C15B92" w:rsidRPr="00042DA9">
              <w:rPr>
                <w:rFonts w:asciiTheme="minorHAnsi" w:hAnsiTheme="minorHAnsi"/>
                <w:sz w:val="24"/>
                <w:szCs w:val="22"/>
              </w:rPr>
              <w:t xml:space="preserve">Provides a well-researched presentation that is relevant, compelling, persuasive, and engaging; presentation shows knowledge, practice, and potential for follow- through </w:t>
            </w:r>
          </w:p>
          <w:p w:rsidR="005C6D76" w:rsidRDefault="005C6D76" w:rsidP="001C6467"/>
        </w:tc>
        <w:tc>
          <w:tcPr>
            <w:tcW w:w="8784" w:type="dxa"/>
            <w:gridSpan w:val="2"/>
          </w:tcPr>
          <w:p w:rsidR="00494E54" w:rsidRPr="00042DA9" w:rsidRDefault="00494E54" w:rsidP="001C6467">
            <w:pPr>
              <w:tabs>
                <w:tab w:val="right" w:pos="8408"/>
              </w:tabs>
              <w:rPr>
                <w:sz w:val="24"/>
              </w:rPr>
            </w:pPr>
          </w:p>
          <w:p w:rsidR="00E52656" w:rsidRPr="00042DA9" w:rsidRDefault="00CC66E9" w:rsidP="00E52656">
            <w:pPr>
              <w:pStyle w:val="ListParagraph"/>
              <w:numPr>
                <w:ilvl w:val="0"/>
                <w:numId w:val="8"/>
              </w:numPr>
              <w:tabs>
                <w:tab w:val="right" w:pos="8408"/>
              </w:tabs>
              <w:rPr>
                <w:sz w:val="24"/>
              </w:rPr>
            </w:pPr>
            <w:r w:rsidRPr="00042DA9">
              <w:rPr>
                <w:sz w:val="24"/>
              </w:rPr>
              <w:t xml:space="preserve">Students will read 5 primary source documents written by Progressive Era social reformers and immigrants.  </w:t>
            </w:r>
            <w:r w:rsidR="00E52656" w:rsidRPr="00042DA9">
              <w:rPr>
                <w:sz w:val="24"/>
              </w:rPr>
              <w:t>After a close reading of each document, students will complete their Organizing for Evidence template—in which students must list evidence that these reformers were both ‘generous and helpful’ and ‘condescending and judgmental.’</w:t>
            </w:r>
          </w:p>
          <w:p w:rsidR="00347638" w:rsidRPr="00042DA9" w:rsidRDefault="008C47E8" w:rsidP="00E52656">
            <w:pPr>
              <w:pStyle w:val="ListParagraph"/>
              <w:numPr>
                <w:ilvl w:val="0"/>
                <w:numId w:val="8"/>
              </w:numPr>
              <w:tabs>
                <w:tab w:val="right" w:pos="8408"/>
              </w:tabs>
              <w:rPr>
                <w:sz w:val="24"/>
              </w:rPr>
            </w:pPr>
            <w:r w:rsidRPr="00042DA9">
              <w:rPr>
                <w:sz w:val="24"/>
              </w:rPr>
              <w:t>Students will analyze 4 primary source documents related to the Chinese Exclusion Act and using evidence from said documents, describe why many white Americans supported this anti-Chinese law.</w:t>
            </w:r>
          </w:p>
          <w:p w:rsidR="00347638" w:rsidRPr="00042DA9" w:rsidRDefault="00347638" w:rsidP="00E52656">
            <w:pPr>
              <w:pStyle w:val="ListParagraph"/>
              <w:numPr>
                <w:ilvl w:val="0"/>
                <w:numId w:val="8"/>
              </w:numPr>
              <w:tabs>
                <w:tab w:val="right" w:pos="8408"/>
              </w:tabs>
              <w:rPr>
                <w:sz w:val="24"/>
              </w:rPr>
            </w:pPr>
            <w:r w:rsidRPr="00042DA9">
              <w:rPr>
                <w:sz w:val="24"/>
              </w:rPr>
              <w:t xml:space="preserve">Students will use Stand Up for Justice curriculum [and view </w:t>
            </w:r>
            <w:r w:rsidRPr="00042DA9">
              <w:rPr>
                <w:sz w:val="24"/>
              </w:rPr>
              <w:lastRenderedPageBreak/>
              <w:t>30 minute film] to explore internment of Japanese Americans during World War II.</w:t>
            </w:r>
          </w:p>
          <w:p w:rsidR="008C47E8" w:rsidRPr="00042DA9" w:rsidRDefault="00347638" w:rsidP="00E52656">
            <w:pPr>
              <w:pStyle w:val="ListParagraph"/>
              <w:numPr>
                <w:ilvl w:val="0"/>
                <w:numId w:val="8"/>
              </w:numPr>
              <w:tabs>
                <w:tab w:val="right" w:pos="8408"/>
              </w:tabs>
              <w:rPr>
                <w:sz w:val="24"/>
              </w:rPr>
            </w:pPr>
            <w:r w:rsidRPr="00042DA9">
              <w:rPr>
                <w:sz w:val="24"/>
              </w:rPr>
              <w:t xml:space="preserve">Students will analyze two primary source documents related to the </w:t>
            </w:r>
            <w:proofErr w:type="spellStart"/>
            <w:r w:rsidRPr="00042DA9">
              <w:rPr>
                <w:sz w:val="24"/>
              </w:rPr>
              <w:t>Zoot</w:t>
            </w:r>
            <w:proofErr w:type="spellEnd"/>
            <w:r w:rsidRPr="00042DA9">
              <w:rPr>
                <w:sz w:val="24"/>
              </w:rPr>
              <w:t xml:space="preserve"> Suit Riots and using evidence from said documents, explore what caused the riots. </w:t>
            </w:r>
          </w:p>
          <w:p w:rsidR="00F62418" w:rsidRPr="00042DA9" w:rsidRDefault="00FE5E67" w:rsidP="00E52656">
            <w:pPr>
              <w:pStyle w:val="ListParagraph"/>
              <w:numPr>
                <w:ilvl w:val="0"/>
                <w:numId w:val="8"/>
              </w:numPr>
              <w:tabs>
                <w:tab w:val="right" w:pos="8408"/>
              </w:tabs>
              <w:rPr>
                <w:sz w:val="24"/>
              </w:rPr>
            </w:pPr>
            <w:r w:rsidRPr="00042DA9">
              <w:rPr>
                <w:sz w:val="24"/>
              </w:rPr>
              <w:t xml:space="preserve">Students will divide into groups of 4 to research examples of nativism and xenophobia in contemporary American society.  Students will complete a </w:t>
            </w:r>
            <w:proofErr w:type="spellStart"/>
            <w:r w:rsidRPr="00042DA9">
              <w:rPr>
                <w:sz w:val="24"/>
              </w:rPr>
              <w:t>Prezi</w:t>
            </w:r>
            <w:proofErr w:type="spellEnd"/>
            <w:r w:rsidRPr="00042DA9">
              <w:rPr>
                <w:sz w:val="24"/>
              </w:rPr>
              <w:t xml:space="preserve"> or </w:t>
            </w:r>
            <w:proofErr w:type="spellStart"/>
            <w:r w:rsidRPr="00042DA9">
              <w:rPr>
                <w:sz w:val="24"/>
              </w:rPr>
              <w:t>Powerpoint</w:t>
            </w:r>
            <w:proofErr w:type="spellEnd"/>
            <w:r w:rsidRPr="00042DA9">
              <w:rPr>
                <w:sz w:val="24"/>
              </w:rPr>
              <w:t xml:space="preserve"> presentation and share this resource with the entire class. </w:t>
            </w:r>
          </w:p>
          <w:p w:rsidR="00347638" w:rsidRPr="00042DA9" w:rsidRDefault="00F62418" w:rsidP="00E52656">
            <w:pPr>
              <w:pStyle w:val="ListParagraph"/>
              <w:numPr>
                <w:ilvl w:val="0"/>
                <w:numId w:val="8"/>
              </w:numPr>
              <w:tabs>
                <w:tab w:val="right" w:pos="8408"/>
              </w:tabs>
              <w:rPr>
                <w:sz w:val="24"/>
              </w:rPr>
            </w:pPr>
            <w:r w:rsidRPr="00042DA9">
              <w:rPr>
                <w:sz w:val="24"/>
              </w:rPr>
              <w:t>Thes</w:t>
            </w:r>
            <w:r w:rsidR="00347638" w:rsidRPr="00042DA9">
              <w:rPr>
                <w:sz w:val="24"/>
              </w:rPr>
              <w:t xml:space="preserve">e same groups will research </w:t>
            </w:r>
            <w:r w:rsidRPr="00042DA9">
              <w:rPr>
                <w:sz w:val="24"/>
              </w:rPr>
              <w:t xml:space="preserve">contemporary examples of nativism and xenophobia in another country. Students will complete a </w:t>
            </w:r>
            <w:proofErr w:type="spellStart"/>
            <w:r w:rsidRPr="00042DA9">
              <w:rPr>
                <w:sz w:val="24"/>
              </w:rPr>
              <w:t>Prezi</w:t>
            </w:r>
            <w:proofErr w:type="spellEnd"/>
            <w:r w:rsidRPr="00042DA9">
              <w:rPr>
                <w:sz w:val="24"/>
              </w:rPr>
              <w:t xml:space="preserve"> or </w:t>
            </w:r>
            <w:proofErr w:type="spellStart"/>
            <w:r w:rsidRPr="00042DA9">
              <w:rPr>
                <w:sz w:val="24"/>
              </w:rPr>
              <w:t>Powerpoint</w:t>
            </w:r>
            <w:proofErr w:type="spellEnd"/>
            <w:r w:rsidRPr="00042DA9">
              <w:rPr>
                <w:sz w:val="24"/>
              </w:rPr>
              <w:t xml:space="preserve"> presentation and share this resource with the entire class.</w:t>
            </w:r>
          </w:p>
          <w:p w:rsidR="005C6D76" w:rsidRPr="00042DA9" w:rsidRDefault="00347638" w:rsidP="001C6467">
            <w:pPr>
              <w:pStyle w:val="ListParagraph"/>
              <w:numPr>
                <w:ilvl w:val="0"/>
                <w:numId w:val="8"/>
              </w:numPr>
              <w:tabs>
                <w:tab w:val="right" w:pos="8408"/>
              </w:tabs>
              <w:rPr>
                <w:sz w:val="24"/>
              </w:rPr>
            </w:pPr>
            <w:r w:rsidRPr="00042DA9">
              <w:rPr>
                <w:sz w:val="24"/>
              </w:rPr>
              <w:t xml:space="preserve">Students will participate in several Socratic Seminars exploring contemporary examples of nativism and xenophobia at home and abroad. </w:t>
            </w:r>
          </w:p>
        </w:tc>
      </w:tr>
      <w:tr w:rsidR="00AF7BBF">
        <w:tc>
          <w:tcPr>
            <w:tcW w:w="4392" w:type="dxa"/>
            <w:tcBorders>
              <w:bottom w:val="single" w:sz="4" w:space="0" w:color="000000" w:themeColor="text1"/>
            </w:tcBorders>
          </w:tcPr>
          <w:p w:rsidR="00AF7BBF" w:rsidRPr="00042DA9" w:rsidRDefault="00AF7BBF" w:rsidP="001C6467">
            <w:pPr>
              <w:rPr>
                <w:sz w:val="24"/>
              </w:rPr>
            </w:pPr>
            <w:r w:rsidRPr="00042DA9">
              <w:rPr>
                <w:sz w:val="24"/>
              </w:rPr>
              <w:lastRenderedPageBreak/>
              <w:t xml:space="preserve">Assessment </w:t>
            </w:r>
            <w:r w:rsidRPr="00042DA9">
              <w:rPr>
                <w:b/>
                <w:sz w:val="24"/>
                <w:u w:val="single"/>
              </w:rPr>
              <w:t>OF</w:t>
            </w:r>
            <w:r w:rsidRPr="00042DA9">
              <w:rPr>
                <w:sz w:val="24"/>
              </w:rPr>
              <w:t xml:space="preserve"> Learning: (ex: performance task, project, final paper)</w:t>
            </w:r>
          </w:p>
          <w:p w:rsidR="00BD08AF" w:rsidRPr="00042DA9" w:rsidRDefault="00BD08AF" w:rsidP="001C6467">
            <w:pPr>
              <w:rPr>
                <w:sz w:val="24"/>
              </w:rPr>
            </w:pPr>
          </w:p>
          <w:p w:rsidR="00BD08AF" w:rsidRPr="00042DA9" w:rsidRDefault="00BD08AF" w:rsidP="00BD08AF">
            <w:pPr>
              <w:pStyle w:val="NormalWeb"/>
              <w:spacing w:before="2" w:after="2"/>
              <w:rPr>
                <w:rFonts w:asciiTheme="minorHAnsi" w:hAnsiTheme="minorHAnsi"/>
                <w:sz w:val="24"/>
                <w:szCs w:val="22"/>
              </w:rPr>
            </w:pPr>
            <w:r w:rsidRPr="00042DA9">
              <w:rPr>
                <w:rFonts w:asciiTheme="minorHAnsi" w:hAnsiTheme="minorHAnsi"/>
                <w:sz w:val="24"/>
              </w:rPr>
              <w:t xml:space="preserve">1.  </w:t>
            </w:r>
            <w:r w:rsidRPr="00042DA9">
              <w:rPr>
                <w:rFonts w:asciiTheme="minorHAnsi" w:hAnsiTheme="minorHAnsi"/>
                <w:sz w:val="24"/>
                <w:szCs w:val="22"/>
              </w:rPr>
              <w:t xml:space="preserve">Provides insightful comparisons, display higher level thinking, provide textual evidence </w:t>
            </w:r>
          </w:p>
          <w:p w:rsidR="005C6D76" w:rsidRDefault="005C6D76" w:rsidP="001C6467"/>
          <w:p w:rsidR="00494E54" w:rsidRDefault="00494E54" w:rsidP="009C3D0C"/>
        </w:tc>
        <w:tc>
          <w:tcPr>
            <w:tcW w:w="8784" w:type="dxa"/>
            <w:gridSpan w:val="2"/>
            <w:tcBorders>
              <w:bottom w:val="single" w:sz="4" w:space="0" w:color="000000" w:themeColor="text1"/>
            </w:tcBorders>
          </w:tcPr>
          <w:p w:rsidR="00BD08AF" w:rsidRPr="00042DA9" w:rsidRDefault="00BD08AF" w:rsidP="00C15B92">
            <w:pPr>
              <w:tabs>
                <w:tab w:val="right" w:pos="8421"/>
              </w:tabs>
              <w:rPr>
                <w:sz w:val="24"/>
              </w:rPr>
            </w:pPr>
          </w:p>
          <w:p w:rsidR="005C6D76" w:rsidRPr="00042DA9" w:rsidRDefault="00C15B92" w:rsidP="000E3FCE">
            <w:pPr>
              <w:tabs>
                <w:tab w:val="right" w:pos="8421"/>
              </w:tabs>
              <w:rPr>
                <w:sz w:val="24"/>
              </w:rPr>
            </w:pPr>
            <w:r w:rsidRPr="00042DA9">
              <w:rPr>
                <w:sz w:val="24"/>
              </w:rPr>
              <w:t xml:space="preserve">Culminating Essay:  Analyze the similarities and differences among </w:t>
            </w:r>
            <w:r w:rsidR="000E3FCE" w:rsidRPr="00042DA9">
              <w:rPr>
                <w:sz w:val="24"/>
              </w:rPr>
              <w:t xml:space="preserve">contemporary American </w:t>
            </w:r>
            <w:proofErr w:type="spellStart"/>
            <w:r w:rsidR="000E3FCE" w:rsidRPr="00042DA9">
              <w:rPr>
                <w:sz w:val="24"/>
              </w:rPr>
              <w:t>nativist</w:t>
            </w:r>
            <w:proofErr w:type="spellEnd"/>
            <w:r w:rsidR="000E3FCE" w:rsidRPr="00042DA9">
              <w:rPr>
                <w:sz w:val="24"/>
              </w:rPr>
              <w:t xml:space="preserve"> movements and xenophobia with those in other nation-states.</w:t>
            </w:r>
            <w:r w:rsidR="009C63FA" w:rsidRPr="00042DA9">
              <w:rPr>
                <w:sz w:val="24"/>
              </w:rPr>
              <w:t xml:space="preserve"> </w:t>
            </w:r>
            <w:r w:rsidRPr="00042DA9">
              <w:rPr>
                <w:sz w:val="24"/>
              </w:rPr>
              <w:t xml:space="preserve">  </w:t>
            </w:r>
          </w:p>
        </w:tc>
      </w:tr>
      <w:tr w:rsidR="00AF7BBF">
        <w:tc>
          <w:tcPr>
            <w:tcW w:w="13176"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3 – Learning Plan</w:t>
            </w:r>
          </w:p>
        </w:tc>
      </w:tr>
      <w:tr w:rsidR="00AF7BBF">
        <w:tc>
          <w:tcPr>
            <w:tcW w:w="13176" w:type="dxa"/>
            <w:gridSpan w:val="3"/>
          </w:tcPr>
          <w:p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rsidR="00AF7BBF" w:rsidRDefault="00AF7BBF" w:rsidP="001C6467">
            <w:pPr>
              <w:rPr>
                <w:i/>
              </w:rPr>
            </w:pPr>
          </w:p>
          <w:p w:rsidR="00A22274" w:rsidRPr="00042DA9" w:rsidRDefault="00B64404" w:rsidP="001C6467">
            <w:pPr>
              <w:rPr>
                <w:sz w:val="24"/>
              </w:rPr>
            </w:pPr>
            <w:r w:rsidRPr="00042DA9">
              <w:rPr>
                <w:sz w:val="24"/>
              </w:rPr>
              <w:t>Week One and Week Two:</w:t>
            </w:r>
          </w:p>
          <w:p w:rsidR="00CE41F5" w:rsidRPr="00042DA9" w:rsidRDefault="00A22274" w:rsidP="001C6467">
            <w:pPr>
              <w:rPr>
                <w:sz w:val="24"/>
              </w:rPr>
            </w:pPr>
            <w:r w:rsidRPr="00042DA9">
              <w:rPr>
                <w:sz w:val="24"/>
              </w:rPr>
              <w:t>I.  Review American Nativism in American Histor</w:t>
            </w:r>
            <w:r w:rsidR="00CE41F5" w:rsidRPr="00042DA9">
              <w:rPr>
                <w:sz w:val="24"/>
              </w:rPr>
              <w:t>y</w:t>
            </w:r>
            <w:r w:rsidRPr="00042DA9">
              <w:rPr>
                <w:sz w:val="24"/>
              </w:rPr>
              <w:br/>
              <w:t xml:space="preserve">    A.  American </w:t>
            </w:r>
            <w:r w:rsidR="00CE41F5" w:rsidRPr="00042DA9">
              <w:rPr>
                <w:sz w:val="24"/>
              </w:rPr>
              <w:t xml:space="preserve">Nativism During </w:t>
            </w:r>
            <w:r w:rsidRPr="00042DA9">
              <w:rPr>
                <w:sz w:val="24"/>
              </w:rPr>
              <w:t>The Gilded Age</w:t>
            </w:r>
            <w:r w:rsidR="00CE41F5" w:rsidRPr="00042DA9">
              <w:rPr>
                <w:sz w:val="24"/>
              </w:rPr>
              <w:br/>
              <w:t xml:space="preserve">         1.  Americanization Movement</w:t>
            </w:r>
            <w:r w:rsidR="00CE41F5" w:rsidRPr="00042DA9">
              <w:rPr>
                <w:sz w:val="24"/>
              </w:rPr>
              <w:br/>
              <w:t xml:space="preserve">         2.  Progressive Reformers and Immigrants</w:t>
            </w:r>
            <w:r w:rsidR="00CE41F5" w:rsidRPr="00042DA9">
              <w:rPr>
                <w:sz w:val="24"/>
              </w:rPr>
              <w:br/>
              <w:t xml:space="preserve">         3.  Chinese Exclusion Act</w:t>
            </w:r>
            <w:r w:rsidR="00CE41F5" w:rsidRPr="00042DA9">
              <w:rPr>
                <w:sz w:val="24"/>
              </w:rPr>
              <w:br/>
              <w:t xml:space="preserve">   B.  American Nativism in the 1920s</w:t>
            </w:r>
            <w:r w:rsidR="00CE41F5" w:rsidRPr="00042DA9">
              <w:rPr>
                <w:sz w:val="24"/>
              </w:rPr>
              <w:br/>
              <w:t xml:space="preserve">        1.  Reappearance of the </w:t>
            </w:r>
            <w:proofErr w:type="spellStart"/>
            <w:r w:rsidR="00CE41F5" w:rsidRPr="00042DA9">
              <w:rPr>
                <w:sz w:val="24"/>
              </w:rPr>
              <w:t>Klu</w:t>
            </w:r>
            <w:proofErr w:type="spellEnd"/>
            <w:r w:rsidR="00CE41F5" w:rsidRPr="00042DA9">
              <w:rPr>
                <w:sz w:val="24"/>
              </w:rPr>
              <w:t xml:space="preserve"> Klux Klan</w:t>
            </w:r>
            <w:r w:rsidR="00CE41F5" w:rsidRPr="00042DA9">
              <w:rPr>
                <w:sz w:val="24"/>
              </w:rPr>
              <w:br/>
              <w:t xml:space="preserve">             a.  Blacks</w:t>
            </w:r>
            <w:r w:rsidR="00CE41F5" w:rsidRPr="00042DA9">
              <w:rPr>
                <w:sz w:val="24"/>
              </w:rPr>
              <w:br/>
              <w:t xml:space="preserve">             b.  Jews</w:t>
            </w:r>
            <w:r w:rsidR="00CE41F5" w:rsidRPr="00042DA9">
              <w:rPr>
                <w:sz w:val="24"/>
              </w:rPr>
              <w:br/>
              <w:t xml:space="preserve">             c.  Catholics</w:t>
            </w:r>
            <w:r w:rsidR="00CE41F5" w:rsidRPr="00042DA9">
              <w:rPr>
                <w:sz w:val="24"/>
              </w:rPr>
              <w:br/>
            </w:r>
            <w:r w:rsidR="00CE41F5" w:rsidRPr="00042DA9">
              <w:rPr>
                <w:sz w:val="24"/>
              </w:rPr>
              <w:lastRenderedPageBreak/>
              <w:t xml:space="preserve">        2.  Immigration Quotas/Restrictions of the 1920s</w:t>
            </w:r>
            <w:r w:rsidR="00CE41F5" w:rsidRPr="00042DA9">
              <w:rPr>
                <w:sz w:val="24"/>
              </w:rPr>
              <w:br/>
              <w:t xml:space="preserve">             a. Emergency Quota Act 1921</w:t>
            </w:r>
            <w:r w:rsidR="00CE41F5" w:rsidRPr="00042DA9">
              <w:rPr>
                <w:sz w:val="24"/>
              </w:rPr>
              <w:br/>
              <w:t xml:space="preserve">             b. Immigration Act of 1924</w:t>
            </w:r>
          </w:p>
          <w:p w:rsidR="004B5A8E" w:rsidRPr="00042DA9" w:rsidRDefault="00CE41F5" w:rsidP="001C6467">
            <w:pPr>
              <w:rPr>
                <w:sz w:val="24"/>
              </w:rPr>
            </w:pPr>
            <w:r w:rsidRPr="00042DA9">
              <w:rPr>
                <w:sz w:val="24"/>
              </w:rPr>
              <w:t xml:space="preserve">        3.  Red Scare of 1919-1920</w:t>
            </w:r>
            <w:r w:rsidRPr="00042DA9">
              <w:rPr>
                <w:sz w:val="24"/>
              </w:rPr>
              <w:br/>
              <w:t xml:space="preserve">             a.  Sacco and Vanzetti</w:t>
            </w:r>
            <w:r w:rsidR="004B5A8E" w:rsidRPr="00042DA9">
              <w:rPr>
                <w:sz w:val="24"/>
              </w:rPr>
              <w:br/>
              <w:t xml:space="preserve">        4.  Americanization Movement in the 1920s</w:t>
            </w:r>
            <w:r w:rsidR="004B5A8E" w:rsidRPr="00042DA9">
              <w:rPr>
                <w:sz w:val="24"/>
              </w:rPr>
              <w:br/>
              <w:t xml:space="preserve">   C.  Nativism and Xenophobia in the WWII period </w:t>
            </w:r>
            <w:r w:rsidR="004B5A8E" w:rsidRPr="00042DA9">
              <w:rPr>
                <w:sz w:val="24"/>
              </w:rPr>
              <w:br/>
              <w:t xml:space="preserve">        1.  Internment of Japanese Americans</w:t>
            </w:r>
          </w:p>
          <w:p w:rsidR="00F07672" w:rsidRPr="00042DA9" w:rsidRDefault="004B5A8E" w:rsidP="001C6467">
            <w:pPr>
              <w:rPr>
                <w:sz w:val="24"/>
              </w:rPr>
            </w:pPr>
            <w:r w:rsidRPr="00042DA9">
              <w:rPr>
                <w:sz w:val="24"/>
              </w:rPr>
              <w:t xml:space="preserve">        2.  Mexican Americans and the </w:t>
            </w:r>
            <w:proofErr w:type="spellStart"/>
            <w:r w:rsidRPr="00042DA9">
              <w:rPr>
                <w:sz w:val="24"/>
              </w:rPr>
              <w:t>Zoot</w:t>
            </w:r>
            <w:proofErr w:type="spellEnd"/>
            <w:r w:rsidRPr="00042DA9">
              <w:rPr>
                <w:sz w:val="24"/>
              </w:rPr>
              <w:t xml:space="preserve"> Suit Riots </w:t>
            </w:r>
            <w:r w:rsidR="00CE41F5" w:rsidRPr="00042DA9">
              <w:rPr>
                <w:sz w:val="24"/>
              </w:rPr>
              <w:br/>
            </w:r>
            <w:bookmarkStart w:id="0" w:name="_GoBack"/>
            <w:bookmarkEnd w:id="0"/>
          </w:p>
          <w:p w:rsidR="004B5A8E" w:rsidRPr="00042DA9" w:rsidRDefault="001C6467" w:rsidP="004B5A8E">
            <w:pPr>
              <w:rPr>
                <w:sz w:val="24"/>
              </w:rPr>
            </w:pPr>
            <w:r w:rsidRPr="00042DA9">
              <w:rPr>
                <w:sz w:val="24"/>
              </w:rPr>
              <w:t>Week Three:</w:t>
            </w:r>
          </w:p>
          <w:p w:rsidR="00494E54" w:rsidRPr="00042DA9" w:rsidRDefault="004B5A8E" w:rsidP="001C6467">
            <w:pPr>
              <w:rPr>
                <w:sz w:val="24"/>
              </w:rPr>
            </w:pPr>
            <w:r w:rsidRPr="00042DA9">
              <w:rPr>
                <w:sz w:val="24"/>
              </w:rPr>
              <w:t>I.  Contemporary Examples of Nativism and Xenophobia in American Society</w:t>
            </w:r>
            <w:r w:rsidRPr="00042DA9">
              <w:rPr>
                <w:sz w:val="24"/>
              </w:rPr>
              <w:br/>
              <w:t xml:space="preserve">    A.  </w:t>
            </w:r>
            <w:r w:rsidR="008C2375" w:rsidRPr="00042DA9">
              <w:rPr>
                <w:sz w:val="24"/>
              </w:rPr>
              <w:t>English Only Movement</w:t>
            </w:r>
            <w:r w:rsidR="008C2375" w:rsidRPr="00042DA9">
              <w:rPr>
                <w:sz w:val="24"/>
              </w:rPr>
              <w:br/>
              <w:t xml:space="preserve">    B.  California’s Proposition 187      </w:t>
            </w:r>
            <w:r w:rsidR="008C2375" w:rsidRPr="00042DA9">
              <w:rPr>
                <w:sz w:val="24"/>
              </w:rPr>
              <w:br/>
              <w:t xml:space="preserve">    C.  Minutemen and the American Border</w:t>
            </w:r>
            <w:r w:rsidR="008C2375" w:rsidRPr="00042DA9">
              <w:rPr>
                <w:sz w:val="24"/>
              </w:rPr>
              <w:br/>
              <w:t xml:space="preserve">    D.  Muslims/Muslim-Americans in a Post-9/11 Society</w:t>
            </w:r>
            <w:r w:rsidR="00B64404" w:rsidRPr="00042DA9">
              <w:rPr>
                <w:sz w:val="24"/>
              </w:rPr>
              <w:br/>
              <w:t xml:space="preserve">    E.  The Tea Party, Nativism, and Xenophobia</w:t>
            </w:r>
            <w:r w:rsidR="008C2375" w:rsidRPr="00042DA9">
              <w:rPr>
                <w:sz w:val="24"/>
              </w:rPr>
              <w:br/>
            </w:r>
          </w:p>
          <w:p w:rsidR="001C6467" w:rsidRPr="00042DA9" w:rsidRDefault="001C6467" w:rsidP="008C2375">
            <w:pPr>
              <w:tabs>
                <w:tab w:val="left" w:pos="2263"/>
              </w:tabs>
              <w:rPr>
                <w:sz w:val="24"/>
              </w:rPr>
            </w:pPr>
            <w:r w:rsidRPr="00042DA9">
              <w:rPr>
                <w:sz w:val="24"/>
              </w:rPr>
              <w:t>Week Four:</w:t>
            </w:r>
            <w:r w:rsidR="008C2375" w:rsidRPr="00042DA9">
              <w:rPr>
                <w:sz w:val="24"/>
              </w:rPr>
              <w:tab/>
            </w:r>
            <w:r w:rsidR="008C2375" w:rsidRPr="00042DA9">
              <w:rPr>
                <w:sz w:val="24"/>
              </w:rPr>
              <w:br/>
            </w:r>
            <w:r w:rsidR="00020E8D" w:rsidRPr="00042DA9">
              <w:rPr>
                <w:sz w:val="24"/>
              </w:rPr>
              <w:t>I.  Contemporary Examples of Nat</w:t>
            </w:r>
            <w:r w:rsidR="00B64404" w:rsidRPr="00042DA9">
              <w:rPr>
                <w:sz w:val="24"/>
              </w:rPr>
              <w:t>ivism and Xenophobia Abroad</w:t>
            </w:r>
            <w:r w:rsidR="00B64404" w:rsidRPr="00042DA9">
              <w:rPr>
                <w:sz w:val="24"/>
              </w:rPr>
              <w:br/>
              <w:t xml:space="preserve">    A</w:t>
            </w:r>
            <w:r w:rsidR="00020E8D" w:rsidRPr="00042DA9">
              <w:rPr>
                <w:sz w:val="24"/>
              </w:rPr>
              <w:t>.  France, Musli</w:t>
            </w:r>
            <w:r w:rsidR="00B64404" w:rsidRPr="00042DA9">
              <w:rPr>
                <w:sz w:val="24"/>
              </w:rPr>
              <w:t>ms, and Head Scarves</w:t>
            </w:r>
            <w:r w:rsidR="00B64404" w:rsidRPr="00042DA9">
              <w:rPr>
                <w:sz w:val="24"/>
              </w:rPr>
              <w:br/>
              <w:t xml:space="preserve">    B</w:t>
            </w:r>
            <w:r w:rsidR="00020E8D" w:rsidRPr="00042DA9">
              <w:rPr>
                <w:sz w:val="24"/>
              </w:rPr>
              <w:t>.  Spain and North African Immigrants</w:t>
            </w:r>
            <w:r w:rsidR="00B64404" w:rsidRPr="00042DA9">
              <w:rPr>
                <w:sz w:val="24"/>
              </w:rPr>
              <w:br/>
              <w:t xml:space="preserve">    C.  Migrant Workers and Xenophobia in the Middle East</w:t>
            </w:r>
            <w:r w:rsidR="00B64404" w:rsidRPr="00042DA9">
              <w:rPr>
                <w:sz w:val="24"/>
              </w:rPr>
              <w:br/>
              <w:t xml:space="preserve">    D.  Xenophobia and the Danish Expulsion Law</w:t>
            </w:r>
          </w:p>
          <w:p w:rsidR="001C6467" w:rsidRPr="00042DA9" w:rsidRDefault="001C6467" w:rsidP="001C6467">
            <w:pPr>
              <w:rPr>
                <w:i/>
                <w:sz w:val="24"/>
              </w:rPr>
            </w:pPr>
          </w:p>
          <w:p w:rsidR="00494E54" w:rsidRDefault="00494E54" w:rsidP="001C6467">
            <w:pPr>
              <w:rPr>
                <w:i/>
              </w:rPr>
            </w:pPr>
          </w:p>
          <w:p w:rsidR="00494E54" w:rsidRDefault="00494E54" w:rsidP="001C6467">
            <w:pPr>
              <w:rPr>
                <w:i/>
              </w:rPr>
            </w:pPr>
          </w:p>
          <w:p w:rsidR="003A5A2E" w:rsidRPr="00AF7BBF" w:rsidRDefault="003A5A2E" w:rsidP="001C6467">
            <w:pPr>
              <w:rPr>
                <w:i/>
              </w:rPr>
            </w:pPr>
            <w:r>
              <w:rPr>
                <w:i/>
              </w:rPr>
              <w:t>*adapted from Understanding by Design Model</w:t>
            </w:r>
          </w:p>
        </w:tc>
      </w:tr>
      <w:tr w:rsidR="00A22274">
        <w:tc>
          <w:tcPr>
            <w:tcW w:w="13176" w:type="dxa"/>
            <w:gridSpan w:val="3"/>
          </w:tcPr>
          <w:p w:rsidR="00A22274" w:rsidRPr="005D00EF" w:rsidRDefault="00A22274" w:rsidP="001C6467">
            <w:pPr>
              <w:rPr>
                <w:i/>
              </w:rPr>
            </w:pPr>
          </w:p>
        </w:tc>
      </w:tr>
    </w:tbl>
    <w:p w:rsidR="00A82753" w:rsidRDefault="00A82753" w:rsidP="001C6467"/>
    <w:p w:rsidR="00A82753" w:rsidRDefault="00A82753" w:rsidP="001C6467"/>
    <w:p w:rsidR="00A82753" w:rsidRDefault="00A82753" w:rsidP="001C6467"/>
    <w:p w:rsidR="00A82753" w:rsidRDefault="00A82753" w:rsidP="001C6467"/>
    <w:p w:rsidR="00A82753" w:rsidRDefault="00A82753" w:rsidP="001C6467"/>
    <w:p w:rsidR="00A82753" w:rsidRDefault="00A82753" w:rsidP="00A82753"/>
    <w:tbl>
      <w:tblPr>
        <w:tblStyle w:val="TableGrid"/>
        <w:tblW w:w="0" w:type="auto"/>
        <w:tblLook w:val="04A0"/>
      </w:tblPr>
      <w:tblGrid>
        <w:gridCol w:w="3192"/>
        <w:gridCol w:w="3192"/>
        <w:gridCol w:w="3192"/>
      </w:tblGrid>
      <w:tr w:rsidR="00A82753" w:rsidRPr="006473C8">
        <w:tc>
          <w:tcPr>
            <w:tcW w:w="9576" w:type="dxa"/>
            <w:gridSpan w:val="3"/>
            <w:shd w:val="clear" w:color="auto" w:fill="000000" w:themeFill="text1"/>
          </w:tcPr>
          <w:p w:rsidR="00A82753" w:rsidRPr="006473C8" w:rsidRDefault="00A82753">
            <w:pPr>
              <w:rPr>
                <w:b/>
                <w:color w:val="FFFFFF" w:themeColor="background1"/>
              </w:rPr>
            </w:pPr>
            <w:r w:rsidRPr="006473C8">
              <w:rPr>
                <w:b/>
                <w:color w:val="FFFFFF" w:themeColor="background1"/>
              </w:rPr>
              <w:t>TGC FELLOWS UBD Lesson Template</w:t>
            </w:r>
          </w:p>
          <w:p w:rsidR="00A82753" w:rsidRPr="006473C8" w:rsidRDefault="00A82753">
            <w:pPr>
              <w:rPr>
                <w:color w:val="FFFFFF" w:themeColor="background1"/>
                <w:u w:val="single"/>
              </w:rPr>
            </w:pPr>
          </w:p>
        </w:tc>
      </w:tr>
      <w:tr w:rsidR="00A82753">
        <w:tc>
          <w:tcPr>
            <w:tcW w:w="9576" w:type="dxa"/>
            <w:gridSpan w:val="3"/>
          </w:tcPr>
          <w:p w:rsidR="00A82753" w:rsidRDefault="00A82753">
            <w:r w:rsidRPr="00BF2F6E">
              <w:rPr>
                <w:u w:val="single"/>
              </w:rPr>
              <w:t>Lesson Title:</w:t>
            </w:r>
            <w:r>
              <w:t xml:space="preserve">    </w:t>
            </w:r>
            <w:r w:rsidRPr="00CC731F">
              <w:t>France, Muslims, and Head Scarves</w:t>
            </w:r>
            <w:r>
              <w:t xml:space="preserve">     </w:t>
            </w:r>
            <w:r w:rsidRPr="00BF2F6E">
              <w:rPr>
                <w:u w:val="single"/>
              </w:rPr>
              <w:t xml:space="preserve"> Subject:   </w:t>
            </w:r>
            <w:r>
              <w:t xml:space="preserve">    U.S. History                     </w:t>
            </w:r>
          </w:p>
          <w:p w:rsidR="00A82753" w:rsidRDefault="00A82753">
            <w:r w:rsidRPr="00BF2F6E">
              <w:rPr>
                <w:u w:val="single"/>
              </w:rPr>
              <w:t>Prepared by</w:t>
            </w:r>
            <w:r>
              <w:t>:  Fernando Molina</w:t>
            </w:r>
          </w:p>
          <w:p w:rsidR="00A82753" w:rsidRDefault="00A82753"/>
          <w:p w:rsidR="00A82753" w:rsidRDefault="00A82753">
            <w:r w:rsidRPr="00BF2F6E">
              <w:rPr>
                <w:u w:val="single"/>
              </w:rPr>
              <w:t>Materials Needed:</w:t>
            </w:r>
            <w:r>
              <w:t xml:space="preserve">   Student copies of readings, LCD Projector, Internet Access/WiFi, link to New York Times Video, </w:t>
            </w:r>
          </w:p>
          <w:p w:rsidR="00A82753" w:rsidRDefault="00A82753"/>
          <w:p w:rsidR="00A82753" w:rsidRDefault="00A82753">
            <w:r w:rsidRPr="00BF2F6E">
              <w:rPr>
                <w:u w:val="single"/>
              </w:rPr>
              <w:t>Global Competency:</w:t>
            </w:r>
            <w:r>
              <w:t xml:space="preserve"> </w:t>
            </w:r>
            <w:r>
              <w:rPr>
                <w:rFonts w:ascii="Calibri" w:hAnsi="Calibri"/>
              </w:rPr>
              <w:t xml:space="preserve">Communication and Perspective </w:t>
            </w:r>
          </w:p>
          <w:p w:rsidR="00A82753" w:rsidRDefault="00A82753" w:rsidP="00BF2F6E"/>
        </w:tc>
      </w:tr>
      <w:tr w:rsidR="00A82753">
        <w:tc>
          <w:tcPr>
            <w:tcW w:w="3192" w:type="dxa"/>
            <w:shd w:val="clear" w:color="auto" w:fill="D9D9D9" w:themeFill="background1" w:themeFillShade="D9"/>
          </w:tcPr>
          <w:p w:rsidR="00A82753" w:rsidRDefault="00A82753">
            <w:r w:rsidRPr="00BF2F6E">
              <w:rPr>
                <w:b/>
                <w:u w:val="single"/>
              </w:rPr>
              <w:t>W</w:t>
            </w:r>
            <w:r>
              <w:t>here is the lesson going?</w:t>
            </w:r>
          </w:p>
          <w:p w:rsidR="00A82753" w:rsidRDefault="00A82753">
            <w:r>
              <w:t>(Learning Target or SWBAT)</w:t>
            </w:r>
          </w:p>
        </w:tc>
        <w:tc>
          <w:tcPr>
            <w:tcW w:w="6384" w:type="dxa"/>
            <w:gridSpan w:val="2"/>
          </w:tcPr>
          <w:p w:rsidR="00A82753" w:rsidRDefault="00A82753">
            <w:r>
              <w:t xml:space="preserve">LT:  </w:t>
            </w:r>
          </w:p>
          <w:p w:rsidR="00A82753" w:rsidRDefault="00A82753">
            <w:r>
              <w:t>Students will identify reasons the French people and government support banning headscarves and the burqa.</w:t>
            </w:r>
          </w:p>
          <w:p w:rsidR="00A82753" w:rsidRDefault="00A82753">
            <w:r>
              <w:t xml:space="preserve">Students will identify reasons some French Muslims and/or [Muslim] Immigrants object to bans. </w:t>
            </w:r>
          </w:p>
          <w:p w:rsidR="00A82753" w:rsidRDefault="00A82753" w:rsidP="00CC731F">
            <w:pPr>
              <w:tabs>
                <w:tab w:val="left" w:pos="2208"/>
              </w:tabs>
            </w:pPr>
            <w:r>
              <w:t>Students will expand their understanding of nativism and xenophobia in a foreign country.</w:t>
            </w:r>
          </w:p>
          <w:p w:rsidR="00A82753" w:rsidRDefault="00A82753"/>
          <w:p w:rsidR="00A82753" w:rsidRDefault="00A82753">
            <w:r>
              <w:t xml:space="preserve"> </w:t>
            </w:r>
          </w:p>
        </w:tc>
      </w:tr>
      <w:tr w:rsidR="00A82753">
        <w:trPr>
          <w:trHeight w:val="488"/>
        </w:trPr>
        <w:tc>
          <w:tcPr>
            <w:tcW w:w="6384" w:type="dxa"/>
            <w:gridSpan w:val="2"/>
            <w:shd w:val="clear" w:color="auto" w:fill="D9D9D9" w:themeFill="background1" w:themeFillShade="D9"/>
          </w:tcPr>
          <w:p w:rsidR="00A82753" w:rsidRDefault="00A82753">
            <w:r w:rsidRPr="00BF2F6E">
              <w:rPr>
                <w:b/>
                <w:u w:val="single"/>
              </w:rPr>
              <w:t>H</w:t>
            </w:r>
            <w:r>
              <w:t>ook:</w:t>
            </w:r>
          </w:p>
          <w:p w:rsidR="00A82753" w:rsidRDefault="00A82753"/>
        </w:tc>
        <w:tc>
          <w:tcPr>
            <w:tcW w:w="3192" w:type="dxa"/>
            <w:shd w:val="clear" w:color="auto" w:fill="7F7F7F" w:themeFill="text1" w:themeFillTint="80"/>
          </w:tcPr>
          <w:p w:rsidR="00A82753" w:rsidRDefault="00A82753">
            <w:r w:rsidRPr="00BF2F6E">
              <w:rPr>
                <w:b/>
                <w:u w:val="single"/>
              </w:rPr>
              <w:t>T</w:t>
            </w:r>
            <w:r>
              <w:t>ailored Differentiation:</w:t>
            </w:r>
          </w:p>
        </w:tc>
      </w:tr>
      <w:tr w:rsidR="00A82753">
        <w:trPr>
          <w:trHeight w:val="487"/>
        </w:trPr>
        <w:tc>
          <w:tcPr>
            <w:tcW w:w="6384" w:type="dxa"/>
            <w:gridSpan w:val="2"/>
          </w:tcPr>
          <w:p w:rsidR="00A82753" w:rsidRPr="00E02A01" w:rsidRDefault="00A82753">
            <w:r w:rsidRPr="00E02A01">
              <w:t>As students enter the room, they will complete a quick gallery walk.  Posted around the room will be one dozen images of French Muslim women wearing headscarves and the burqa.  Some of the images will depict these women protesting in the streets of Paris and other French cities and cited by law enforcement.</w:t>
            </w:r>
          </w:p>
          <w:p w:rsidR="00A82753" w:rsidRDefault="00A82753">
            <w:pPr>
              <w:rPr>
                <w:b/>
              </w:rPr>
            </w:pPr>
          </w:p>
          <w:p w:rsidR="00A82753" w:rsidRPr="00ED0BF4" w:rsidRDefault="00A82753">
            <w:pPr>
              <w:rPr>
                <w:b/>
              </w:rPr>
            </w:pPr>
          </w:p>
        </w:tc>
        <w:tc>
          <w:tcPr>
            <w:tcW w:w="3192" w:type="dxa"/>
            <w:vMerge w:val="restart"/>
          </w:tcPr>
          <w:p w:rsidR="00A82753" w:rsidRDefault="00A82753"/>
          <w:p w:rsidR="00A82753" w:rsidRDefault="00A82753" w:rsidP="00730AD5">
            <w:pPr>
              <w:pStyle w:val="ListParagraph"/>
            </w:pPr>
          </w:p>
          <w:p w:rsidR="00A82753" w:rsidRDefault="00A82753" w:rsidP="00730AD5">
            <w:pPr>
              <w:pStyle w:val="ListParagraph"/>
            </w:pPr>
          </w:p>
          <w:p w:rsidR="00A82753" w:rsidRDefault="00A82753" w:rsidP="00730AD5">
            <w:pPr>
              <w:pStyle w:val="ListParagraph"/>
            </w:pPr>
          </w:p>
          <w:p w:rsidR="00A82753" w:rsidRDefault="00A82753" w:rsidP="00730AD5">
            <w:pPr>
              <w:pStyle w:val="ListParagraph"/>
            </w:pPr>
          </w:p>
          <w:p w:rsidR="00A82753" w:rsidRDefault="00A82753" w:rsidP="00730AD5">
            <w:pPr>
              <w:pStyle w:val="ListParagraph"/>
            </w:pPr>
          </w:p>
          <w:p w:rsidR="00A82753" w:rsidRDefault="00A82753" w:rsidP="00730AD5">
            <w:pPr>
              <w:pStyle w:val="ListParagraph"/>
            </w:pPr>
          </w:p>
          <w:p w:rsidR="00A82753" w:rsidRDefault="00A82753" w:rsidP="00730AD5">
            <w:pPr>
              <w:pStyle w:val="ListParagraph"/>
            </w:pPr>
          </w:p>
          <w:p w:rsidR="00A82753" w:rsidRDefault="00A82753" w:rsidP="00730AD5">
            <w:pPr>
              <w:pStyle w:val="ListParagraph"/>
            </w:pPr>
          </w:p>
          <w:p w:rsidR="006A4550" w:rsidRDefault="006A4550" w:rsidP="00730AD5">
            <w:pPr>
              <w:pStyle w:val="ListParagraph"/>
            </w:pPr>
          </w:p>
          <w:p w:rsidR="006A4550" w:rsidRDefault="006A4550" w:rsidP="00730AD5">
            <w:pPr>
              <w:pStyle w:val="ListParagraph"/>
            </w:pPr>
          </w:p>
          <w:p w:rsidR="00A82753" w:rsidRDefault="00A82753" w:rsidP="00730AD5">
            <w:pPr>
              <w:pStyle w:val="ListParagraph"/>
            </w:pPr>
            <w:r>
              <w:t xml:space="preserve">Provide additional readings for advanced students.  </w:t>
            </w:r>
          </w:p>
          <w:p w:rsidR="00A82753" w:rsidRDefault="00A82753" w:rsidP="00730AD5">
            <w:pPr>
              <w:pStyle w:val="ListParagraph"/>
            </w:pPr>
          </w:p>
          <w:p w:rsidR="006A4550" w:rsidRDefault="006A4550" w:rsidP="00730AD5">
            <w:pPr>
              <w:pStyle w:val="ListParagraph"/>
            </w:pPr>
          </w:p>
          <w:p w:rsidR="006A4550" w:rsidRDefault="006A4550" w:rsidP="00730AD5">
            <w:pPr>
              <w:pStyle w:val="ListParagraph"/>
            </w:pPr>
          </w:p>
          <w:p w:rsidR="006A4550" w:rsidRDefault="006A4550" w:rsidP="00730AD5">
            <w:pPr>
              <w:pStyle w:val="ListParagraph"/>
            </w:pPr>
          </w:p>
          <w:p w:rsidR="006A4550" w:rsidRDefault="006A4550" w:rsidP="00730AD5">
            <w:pPr>
              <w:pStyle w:val="ListParagraph"/>
            </w:pPr>
          </w:p>
          <w:p w:rsidR="006A4550" w:rsidRDefault="006A4550" w:rsidP="00730AD5">
            <w:pPr>
              <w:pStyle w:val="ListParagraph"/>
            </w:pPr>
          </w:p>
          <w:p w:rsidR="00A82753" w:rsidRDefault="00A82753" w:rsidP="00730AD5">
            <w:pPr>
              <w:pStyle w:val="ListParagraph"/>
            </w:pPr>
            <w:r>
              <w:t>Pair strong and weak students together in triads [2 Outer Circle participants + 1 Inner Circle participant].</w:t>
            </w:r>
          </w:p>
          <w:p w:rsidR="00A82753" w:rsidRDefault="00A82753" w:rsidP="00730AD5">
            <w:pPr>
              <w:pStyle w:val="ListParagraph"/>
            </w:pPr>
          </w:p>
          <w:p w:rsidR="00A82753" w:rsidRDefault="00A82753" w:rsidP="00730AD5">
            <w:pPr>
              <w:pStyle w:val="ListParagraph"/>
            </w:pPr>
            <w:r>
              <w:t xml:space="preserve">Ask probing questions and encourage weaker students to explain themselves fully. </w:t>
            </w:r>
          </w:p>
          <w:p w:rsidR="00A82753" w:rsidRDefault="00A82753" w:rsidP="00730AD5">
            <w:pPr>
              <w:pStyle w:val="ListParagraph"/>
            </w:pPr>
          </w:p>
          <w:p w:rsidR="00A82753" w:rsidRPr="000B5107" w:rsidRDefault="00A82753" w:rsidP="00730AD5">
            <w:pPr>
              <w:pStyle w:val="ListParagraph"/>
            </w:pPr>
            <w:r>
              <w:t xml:space="preserve">Provide adequate wait time. </w:t>
            </w:r>
          </w:p>
        </w:tc>
      </w:tr>
      <w:tr w:rsidR="00A82753">
        <w:trPr>
          <w:trHeight w:val="410"/>
        </w:trPr>
        <w:tc>
          <w:tcPr>
            <w:tcW w:w="6384" w:type="dxa"/>
            <w:gridSpan w:val="2"/>
            <w:shd w:val="clear" w:color="auto" w:fill="D9D9D9" w:themeFill="background1" w:themeFillShade="D9"/>
          </w:tcPr>
          <w:p w:rsidR="00A82753" w:rsidRDefault="00A82753" w:rsidP="003A5B94">
            <w:r w:rsidRPr="00BF2F6E">
              <w:rPr>
                <w:b/>
                <w:u w:val="single"/>
              </w:rPr>
              <w:t>E</w:t>
            </w:r>
            <w:r>
              <w:t>quip:</w:t>
            </w:r>
          </w:p>
        </w:tc>
        <w:tc>
          <w:tcPr>
            <w:tcW w:w="3192" w:type="dxa"/>
            <w:vMerge/>
          </w:tcPr>
          <w:p w:rsidR="00A82753" w:rsidRDefault="00A82753"/>
        </w:tc>
      </w:tr>
      <w:tr w:rsidR="00A82753">
        <w:trPr>
          <w:trHeight w:val="410"/>
        </w:trPr>
        <w:tc>
          <w:tcPr>
            <w:tcW w:w="6384" w:type="dxa"/>
            <w:gridSpan w:val="2"/>
          </w:tcPr>
          <w:p w:rsidR="00A82753" w:rsidRPr="00233DD2" w:rsidRDefault="00A82753" w:rsidP="00E02A01">
            <w:pPr>
              <w:pStyle w:val="ListParagraph"/>
              <w:numPr>
                <w:ilvl w:val="0"/>
                <w:numId w:val="17"/>
              </w:numPr>
              <w:rPr>
                <w:rFonts w:cs="Times"/>
                <w:color w:val="262626"/>
                <w:szCs w:val="48"/>
              </w:rPr>
            </w:pPr>
            <w:r w:rsidRPr="00233DD2">
              <w:t xml:space="preserve">After gallery walk, students will view 2 minute NY Times video:  </w:t>
            </w:r>
            <w:r w:rsidRPr="00233DD2">
              <w:rPr>
                <w:rFonts w:cs="Times"/>
                <w:color w:val="262626"/>
                <w:szCs w:val="48"/>
              </w:rPr>
              <w:t xml:space="preserve">TimesCast | France Bans Face Veil.  </w:t>
            </w:r>
          </w:p>
          <w:p w:rsidR="00A82753" w:rsidRPr="00233DD2" w:rsidRDefault="00A82753" w:rsidP="00E02A01">
            <w:pPr>
              <w:pStyle w:val="ListParagraph"/>
              <w:numPr>
                <w:ilvl w:val="0"/>
                <w:numId w:val="17"/>
              </w:numPr>
            </w:pPr>
            <w:r w:rsidRPr="00233DD2">
              <w:t xml:space="preserve">Pre-Lesson Homework:  Students will have all read a series of articles related to the issue of headscarves, veils, and burqas in France.  I have compiled a series of articles from the NY Times, The Guardian, BBC News, The Economist, and other sources.  Each student will have read a minimum of two [2] readings each.  </w:t>
            </w:r>
          </w:p>
          <w:p w:rsidR="00A82753" w:rsidRPr="00233DD2" w:rsidRDefault="00A82753" w:rsidP="00E02A01">
            <w:pPr>
              <w:pStyle w:val="ListParagraph"/>
              <w:numPr>
                <w:ilvl w:val="0"/>
                <w:numId w:val="17"/>
              </w:numPr>
            </w:pPr>
            <w:r w:rsidRPr="00233DD2">
              <w:lastRenderedPageBreak/>
              <w:t xml:space="preserve">Socratic Seminar:  Teacher will facilitate a Socratic Seminar on the issue of France’s banning of head scarves/veils and burqas.  There will be an Inner Circle and an Outer Circle.  The Inner Circle [12 students] are active participants in the Socratic Seminar discussion, while the Outer Circle [24 students] participants are active observers.  Each Inner Circle participant works with two Outer Circle participants during several 1-minute time outs interspersed throughout the Socratic Seminar. As such, the Outer Circle participants “coach” the Inner Circle participants.  </w:t>
            </w:r>
          </w:p>
          <w:p w:rsidR="00A82753" w:rsidRPr="00233DD2" w:rsidRDefault="00A82753" w:rsidP="00E02A01">
            <w:pPr>
              <w:pStyle w:val="ListParagraph"/>
              <w:numPr>
                <w:ilvl w:val="0"/>
                <w:numId w:val="17"/>
              </w:numPr>
            </w:pPr>
            <w:r w:rsidRPr="00233DD2">
              <w:t xml:space="preserve">The facilitator/teacher prepares several </w:t>
            </w:r>
            <w:r>
              <w:t>discussion questions in advance.  Relevant Issues include:  religious freedom vs. a nation-state’s right to maintain its values, beliefs and cultural norms; Diversity and Multiculturalism in the 21</w:t>
            </w:r>
            <w:r w:rsidRPr="00BD084D">
              <w:rPr>
                <w:vertAlign w:val="superscript"/>
              </w:rPr>
              <w:t>st</w:t>
            </w:r>
            <w:r>
              <w:t xml:space="preserve"> century; European/French Colonialism and its impact in our Post-Colonial world; Identity Politics and Nation-states; Static vs. Dynamic cultures; Imagined Communities in the 21</w:t>
            </w:r>
            <w:r w:rsidRPr="00D43378">
              <w:rPr>
                <w:vertAlign w:val="superscript"/>
              </w:rPr>
              <w:t>st</w:t>
            </w:r>
            <w:r>
              <w:t xml:space="preserve"> century.</w:t>
            </w:r>
          </w:p>
          <w:p w:rsidR="00A82753" w:rsidRPr="00233DD2" w:rsidRDefault="00A82753" w:rsidP="00E02A01">
            <w:pPr>
              <w:pStyle w:val="ListParagraph"/>
              <w:numPr>
                <w:ilvl w:val="0"/>
                <w:numId w:val="17"/>
              </w:numPr>
            </w:pPr>
            <w:r w:rsidRPr="00233DD2">
              <w:t xml:space="preserve">Students are encouraged to actively engage each other on all relevant issues.  </w:t>
            </w:r>
          </w:p>
          <w:p w:rsidR="00A82753" w:rsidRDefault="00A82753">
            <w:pPr>
              <w:rPr>
                <w:b/>
                <w:u w:val="single"/>
              </w:rPr>
            </w:pPr>
          </w:p>
          <w:p w:rsidR="00A82753" w:rsidRPr="00BF2F6E" w:rsidRDefault="00A82753">
            <w:pPr>
              <w:rPr>
                <w:b/>
                <w:u w:val="single"/>
              </w:rPr>
            </w:pPr>
          </w:p>
        </w:tc>
        <w:tc>
          <w:tcPr>
            <w:tcW w:w="3192" w:type="dxa"/>
            <w:vMerge/>
          </w:tcPr>
          <w:p w:rsidR="00A82753" w:rsidRDefault="00A82753"/>
        </w:tc>
      </w:tr>
      <w:tr w:rsidR="00A82753">
        <w:trPr>
          <w:trHeight w:val="410"/>
        </w:trPr>
        <w:tc>
          <w:tcPr>
            <w:tcW w:w="6384" w:type="dxa"/>
            <w:gridSpan w:val="2"/>
            <w:shd w:val="clear" w:color="auto" w:fill="D9D9D9" w:themeFill="background1" w:themeFillShade="D9"/>
          </w:tcPr>
          <w:p w:rsidR="00A82753" w:rsidRDefault="00A82753">
            <w:pPr>
              <w:rPr>
                <w:b/>
              </w:rPr>
            </w:pPr>
            <w:r w:rsidRPr="00BF2F6E">
              <w:rPr>
                <w:b/>
                <w:u w:val="single"/>
              </w:rPr>
              <w:lastRenderedPageBreak/>
              <w:t>R</w:t>
            </w:r>
            <w:r>
              <w:rPr>
                <w:b/>
              </w:rPr>
              <w:t>ethink and revise:</w:t>
            </w:r>
          </w:p>
          <w:p w:rsidR="00A82753" w:rsidRDefault="00A82753"/>
        </w:tc>
        <w:tc>
          <w:tcPr>
            <w:tcW w:w="3192" w:type="dxa"/>
            <w:vMerge/>
          </w:tcPr>
          <w:p w:rsidR="00A82753" w:rsidRDefault="00A82753"/>
        </w:tc>
      </w:tr>
      <w:tr w:rsidR="00A82753">
        <w:trPr>
          <w:trHeight w:val="410"/>
        </w:trPr>
        <w:tc>
          <w:tcPr>
            <w:tcW w:w="6384" w:type="dxa"/>
            <w:gridSpan w:val="2"/>
          </w:tcPr>
          <w:p w:rsidR="00A82753" w:rsidRDefault="00A82753">
            <w:pPr>
              <w:rPr>
                <w:b/>
                <w:u w:val="single"/>
              </w:rPr>
            </w:pPr>
          </w:p>
          <w:p w:rsidR="00A82753" w:rsidRPr="00233DD2" w:rsidRDefault="00A82753" w:rsidP="00233DD2">
            <w:pPr>
              <w:pStyle w:val="ListParagraph"/>
              <w:numPr>
                <w:ilvl w:val="0"/>
                <w:numId w:val="18"/>
              </w:numPr>
            </w:pPr>
            <w:r w:rsidRPr="00233DD2">
              <w:t xml:space="preserve">Students discuss possible solutions that will appease both the majority of French citizens and their government representatives and the French Muslims/Immigrant community.  </w:t>
            </w:r>
          </w:p>
          <w:p w:rsidR="00A82753" w:rsidRPr="00233DD2" w:rsidRDefault="00A82753" w:rsidP="00233DD2">
            <w:pPr>
              <w:pStyle w:val="ListParagraph"/>
              <w:numPr>
                <w:ilvl w:val="0"/>
                <w:numId w:val="18"/>
              </w:numPr>
            </w:pPr>
            <w:r w:rsidRPr="00233DD2">
              <w:t>Students discuss whether or not such a ban could ever take hold in the United States.</w:t>
            </w:r>
          </w:p>
          <w:p w:rsidR="00A82753" w:rsidRPr="00BF2F6E" w:rsidRDefault="00A82753">
            <w:pPr>
              <w:rPr>
                <w:b/>
                <w:u w:val="single"/>
              </w:rPr>
            </w:pPr>
          </w:p>
        </w:tc>
        <w:tc>
          <w:tcPr>
            <w:tcW w:w="3192" w:type="dxa"/>
            <w:vMerge/>
          </w:tcPr>
          <w:p w:rsidR="00A82753" w:rsidRDefault="00A82753"/>
        </w:tc>
      </w:tr>
      <w:tr w:rsidR="00A82753">
        <w:trPr>
          <w:trHeight w:val="164"/>
        </w:trPr>
        <w:tc>
          <w:tcPr>
            <w:tcW w:w="6384" w:type="dxa"/>
            <w:gridSpan w:val="2"/>
            <w:shd w:val="clear" w:color="auto" w:fill="D9D9D9" w:themeFill="background1" w:themeFillShade="D9"/>
          </w:tcPr>
          <w:p w:rsidR="00A82753" w:rsidRPr="006473C8" w:rsidRDefault="00A82753">
            <w:pPr>
              <w:rPr>
                <w:b/>
              </w:rPr>
            </w:pPr>
            <w:r w:rsidRPr="00BF2F6E">
              <w:rPr>
                <w:b/>
                <w:u w:val="single"/>
              </w:rPr>
              <w:t>E</w:t>
            </w:r>
            <w:r>
              <w:rPr>
                <w:b/>
              </w:rPr>
              <w:t xml:space="preserve">valuate: </w:t>
            </w:r>
          </w:p>
        </w:tc>
        <w:tc>
          <w:tcPr>
            <w:tcW w:w="3192" w:type="dxa"/>
            <w:vMerge/>
          </w:tcPr>
          <w:p w:rsidR="00A82753" w:rsidRDefault="00A82753"/>
        </w:tc>
      </w:tr>
      <w:tr w:rsidR="00A82753">
        <w:trPr>
          <w:trHeight w:val="164"/>
        </w:trPr>
        <w:tc>
          <w:tcPr>
            <w:tcW w:w="6384" w:type="dxa"/>
            <w:gridSpan w:val="2"/>
            <w:shd w:val="clear" w:color="auto" w:fill="auto"/>
          </w:tcPr>
          <w:p w:rsidR="00A82753" w:rsidRDefault="00A82753">
            <w:pPr>
              <w:rPr>
                <w:b/>
                <w:u w:val="single"/>
              </w:rPr>
            </w:pPr>
          </w:p>
          <w:p w:rsidR="00A82753" w:rsidRPr="00233DD2" w:rsidRDefault="00A82753">
            <w:r>
              <w:t xml:space="preserve">Students assess their performance/participation in the Socratic Seminar using a Reflection Exit Ticket.  </w:t>
            </w:r>
          </w:p>
          <w:p w:rsidR="00A82753" w:rsidRDefault="00A82753">
            <w:pPr>
              <w:rPr>
                <w:b/>
                <w:u w:val="single"/>
              </w:rPr>
            </w:pPr>
          </w:p>
          <w:p w:rsidR="00A82753" w:rsidRPr="00BF2F6E" w:rsidRDefault="00A82753">
            <w:pPr>
              <w:rPr>
                <w:b/>
                <w:u w:val="single"/>
              </w:rPr>
            </w:pPr>
          </w:p>
        </w:tc>
        <w:tc>
          <w:tcPr>
            <w:tcW w:w="3192" w:type="dxa"/>
            <w:vMerge/>
          </w:tcPr>
          <w:p w:rsidR="00A82753" w:rsidRDefault="00A82753"/>
        </w:tc>
      </w:tr>
      <w:tr w:rsidR="00A82753">
        <w:trPr>
          <w:trHeight w:val="269"/>
        </w:trPr>
        <w:tc>
          <w:tcPr>
            <w:tcW w:w="6384" w:type="dxa"/>
            <w:gridSpan w:val="2"/>
            <w:vMerge w:val="restart"/>
          </w:tcPr>
          <w:p w:rsidR="00A82753" w:rsidRPr="006473C8" w:rsidRDefault="00A82753">
            <w:pPr>
              <w:rPr>
                <w:u w:val="single"/>
              </w:rPr>
            </w:pPr>
            <w:r w:rsidRPr="006473C8">
              <w:rPr>
                <w:u w:val="single"/>
              </w:rPr>
              <w:t xml:space="preserve">Notes: </w:t>
            </w:r>
          </w:p>
        </w:tc>
        <w:tc>
          <w:tcPr>
            <w:tcW w:w="3192" w:type="dxa"/>
            <w:vMerge/>
          </w:tcPr>
          <w:p w:rsidR="00A82753" w:rsidRDefault="00A82753"/>
        </w:tc>
      </w:tr>
      <w:tr w:rsidR="00A82753">
        <w:trPr>
          <w:trHeight w:val="410"/>
        </w:trPr>
        <w:tc>
          <w:tcPr>
            <w:tcW w:w="6384" w:type="dxa"/>
            <w:gridSpan w:val="2"/>
            <w:vMerge/>
          </w:tcPr>
          <w:p w:rsidR="00A82753" w:rsidRDefault="00A82753"/>
        </w:tc>
        <w:tc>
          <w:tcPr>
            <w:tcW w:w="3192" w:type="dxa"/>
            <w:shd w:val="clear" w:color="auto" w:fill="7F7F7F" w:themeFill="text1" w:themeFillTint="80"/>
          </w:tcPr>
          <w:p w:rsidR="00A82753" w:rsidRDefault="00A82753">
            <w:r w:rsidRPr="00BF2F6E">
              <w:rPr>
                <w:b/>
                <w:u w:val="single"/>
              </w:rPr>
              <w:t>O</w:t>
            </w:r>
            <w:r>
              <w:t xml:space="preserve">rganization: </w:t>
            </w:r>
          </w:p>
        </w:tc>
      </w:tr>
      <w:tr w:rsidR="00A82753">
        <w:trPr>
          <w:trHeight w:val="410"/>
        </w:trPr>
        <w:tc>
          <w:tcPr>
            <w:tcW w:w="6384" w:type="dxa"/>
            <w:gridSpan w:val="2"/>
            <w:vMerge/>
            <w:tcBorders>
              <w:bottom w:val="single" w:sz="4" w:space="0" w:color="auto"/>
            </w:tcBorders>
          </w:tcPr>
          <w:p w:rsidR="00A82753" w:rsidRDefault="00A82753"/>
        </w:tc>
        <w:tc>
          <w:tcPr>
            <w:tcW w:w="3192" w:type="dxa"/>
            <w:tcBorders>
              <w:bottom w:val="single" w:sz="4" w:space="0" w:color="auto"/>
            </w:tcBorders>
          </w:tcPr>
          <w:p w:rsidR="00A82753" w:rsidRDefault="00A82753"/>
          <w:p w:rsidR="00A82753" w:rsidRDefault="00A82753">
            <w:r>
              <w:t xml:space="preserve">Arrange student desks in two circles.  13 seats for Inner Circle [12 students + Teacher/Facilitator] and 24 seats for Outer Circle. </w:t>
            </w:r>
          </w:p>
          <w:p w:rsidR="00A82753" w:rsidRDefault="00A82753">
            <w:r>
              <w:t>Set up LCD Projector with NY Times Video ready to view prior to commencing Socratic Seminar.</w:t>
            </w:r>
          </w:p>
          <w:p w:rsidR="00A82753" w:rsidRDefault="00A82753"/>
          <w:p w:rsidR="00A82753" w:rsidRPr="00BF2F6E" w:rsidRDefault="00A82753">
            <w:pPr>
              <w:rPr>
                <w:b/>
                <w:u w:val="single"/>
              </w:rPr>
            </w:pPr>
          </w:p>
        </w:tc>
      </w:tr>
    </w:tbl>
    <w:p w:rsidR="00A82753" w:rsidRDefault="00A82753" w:rsidP="00A82753"/>
    <w:p w:rsidR="00A82753" w:rsidRDefault="00A82753" w:rsidP="00A82753"/>
    <w:p w:rsidR="001C6467" w:rsidRDefault="001C6467" w:rsidP="001C6467"/>
    <w:sectPr w:rsidR="001C6467" w:rsidSect="001C646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39" w:rsidRDefault="00EA5739" w:rsidP="00AF7BBF">
      <w:pPr>
        <w:spacing w:after="0" w:line="240" w:lineRule="auto"/>
      </w:pPr>
      <w:r>
        <w:separator/>
      </w:r>
    </w:p>
  </w:endnote>
  <w:endnote w:type="continuationSeparator" w:id="0">
    <w:p w:rsidR="00EA5739" w:rsidRDefault="00EA5739" w:rsidP="00AF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0000000" w:usb2="0100040E"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39" w:rsidRDefault="00EA5739" w:rsidP="00AF7BBF">
      <w:pPr>
        <w:spacing w:after="0" w:line="240" w:lineRule="auto"/>
      </w:pPr>
      <w:r>
        <w:separator/>
      </w:r>
    </w:p>
  </w:footnote>
  <w:footnote w:type="continuationSeparator" w:id="0">
    <w:p w:rsidR="00EA5739" w:rsidRDefault="00EA5739" w:rsidP="00AF7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124"/>
    <w:multiLevelType w:val="multilevel"/>
    <w:tmpl w:val="AC364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23B86"/>
    <w:multiLevelType w:val="hybridMultilevel"/>
    <w:tmpl w:val="B6265690"/>
    <w:lvl w:ilvl="0" w:tplc="B40815C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2B72"/>
    <w:multiLevelType w:val="multilevel"/>
    <w:tmpl w:val="DBAE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66E6F"/>
    <w:multiLevelType w:val="multilevel"/>
    <w:tmpl w:val="B526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A5E72"/>
    <w:multiLevelType w:val="hybridMultilevel"/>
    <w:tmpl w:val="42E002AC"/>
    <w:lvl w:ilvl="0" w:tplc="D6EE19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F4DED"/>
    <w:multiLevelType w:val="hybridMultilevel"/>
    <w:tmpl w:val="3C9C86EE"/>
    <w:lvl w:ilvl="0" w:tplc="D8027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D5E82"/>
    <w:multiLevelType w:val="multilevel"/>
    <w:tmpl w:val="EAC8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1004E"/>
    <w:multiLevelType w:val="hybridMultilevel"/>
    <w:tmpl w:val="8C9E2356"/>
    <w:lvl w:ilvl="0" w:tplc="D6EE1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A4D0E"/>
    <w:multiLevelType w:val="multilevel"/>
    <w:tmpl w:val="A896F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C828B1"/>
    <w:multiLevelType w:val="multilevel"/>
    <w:tmpl w:val="87B8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744836"/>
    <w:multiLevelType w:val="hybridMultilevel"/>
    <w:tmpl w:val="E162EB3A"/>
    <w:lvl w:ilvl="0" w:tplc="D6EE1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B3788"/>
    <w:multiLevelType w:val="multilevel"/>
    <w:tmpl w:val="46F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885217"/>
    <w:multiLevelType w:val="multilevel"/>
    <w:tmpl w:val="21924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7"/>
  </w:num>
  <w:num w:numId="5">
    <w:abstractNumId w:val="5"/>
  </w:num>
  <w:num w:numId="6">
    <w:abstractNumId w:val="3"/>
  </w:num>
  <w:num w:numId="7">
    <w:abstractNumId w:val="15"/>
  </w:num>
  <w:num w:numId="8">
    <w:abstractNumId w:val="14"/>
  </w:num>
  <w:num w:numId="9">
    <w:abstractNumId w:val="13"/>
  </w:num>
  <w:num w:numId="10">
    <w:abstractNumId w:val="9"/>
  </w:num>
  <w:num w:numId="11">
    <w:abstractNumId w:val="12"/>
  </w:num>
  <w:num w:numId="12">
    <w:abstractNumId w:val="0"/>
  </w:num>
  <w:num w:numId="13">
    <w:abstractNumId w:val="16"/>
  </w:num>
  <w:num w:numId="14">
    <w:abstractNumId w:val="2"/>
  </w:num>
  <w:num w:numId="15">
    <w:abstractNumId w:val="4"/>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7A38"/>
    <w:rsid w:val="000148E3"/>
    <w:rsid w:val="00020E8D"/>
    <w:rsid w:val="00042BE5"/>
    <w:rsid w:val="00042DA9"/>
    <w:rsid w:val="00072C4B"/>
    <w:rsid w:val="000E3FCE"/>
    <w:rsid w:val="000F00C1"/>
    <w:rsid w:val="00112D9E"/>
    <w:rsid w:val="001518D3"/>
    <w:rsid w:val="0018180B"/>
    <w:rsid w:val="001A5145"/>
    <w:rsid w:val="001C6467"/>
    <w:rsid w:val="00267411"/>
    <w:rsid w:val="00347638"/>
    <w:rsid w:val="0037218A"/>
    <w:rsid w:val="0039060D"/>
    <w:rsid w:val="003A5A2E"/>
    <w:rsid w:val="0046421D"/>
    <w:rsid w:val="00494E54"/>
    <w:rsid w:val="004A588D"/>
    <w:rsid w:val="004B5A8E"/>
    <w:rsid w:val="004C6E64"/>
    <w:rsid w:val="004E38F8"/>
    <w:rsid w:val="00510B34"/>
    <w:rsid w:val="005C6D76"/>
    <w:rsid w:val="005D00EF"/>
    <w:rsid w:val="00607219"/>
    <w:rsid w:val="0062518A"/>
    <w:rsid w:val="006A4550"/>
    <w:rsid w:val="006B7E40"/>
    <w:rsid w:val="006C0ECD"/>
    <w:rsid w:val="006C3082"/>
    <w:rsid w:val="006D0289"/>
    <w:rsid w:val="006F29C8"/>
    <w:rsid w:val="00700459"/>
    <w:rsid w:val="00793918"/>
    <w:rsid w:val="007B06C0"/>
    <w:rsid w:val="007D6D90"/>
    <w:rsid w:val="008B4110"/>
    <w:rsid w:val="008C2375"/>
    <w:rsid w:val="008C2F73"/>
    <w:rsid w:val="008C47E8"/>
    <w:rsid w:val="008F2B71"/>
    <w:rsid w:val="00933990"/>
    <w:rsid w:val="009C3D0C"/>
    <w:rsid w:val="009C63FA"/>
    <w:rsid w:val="009D7A38"/>
    <w:rsid w:val="00A22274"/>
    <w:rsid w:val="00A50B34"/>
    <w:rsid w:val="00A82753"/>
    <w:rsid w:val="00AC692E"/>
    <w:rsid w:val="00AF7BBF"/>
    <w:rsid w:val="00B64404"/>
    <w:rsid w:val="00BB0B68"/>
    <w:rsid w:val="00BB652F"/>
    <w:rsid w:val="00BD08AF"/>
    <w:rsid w:val="00C15B92"/>
    <w:rsid w:val="00C55CFE"/>
    <w:rsid w:val="00CC66E9"/>
    <w:rsid w:val="00CE41F5"/>
    <w:rsid w:val="00CF6456"/>
    <w:rsid w:val="00DE501E"/>
    <w:rsid w:val="00DF11A3"/>
    <w:rsid w:val="00E52656"/>
    <w:rsid w:val="00EA5739"/>
    <w:rsid w:val="00F07672"/>
    <w:rsid w:val="00F578DA"/>
    <w:rsid w:val="00F62418"/>
    <w:rsid w:val="00FE5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styleId="NormalWeb">
    <w:name w:val="Normal (Web)"/>
    <w:basedOn w:val="Normal"/>
    <w:uiPriority w:val="99"/>
    <w:rsid w:val="006D0289"/>
    <w:pPr>
      <w:spacing w:beforeLines="1" w:afterLines="1" w:line="240" w:lineRule="auto"/>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1A51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w/the-americans-california-houghton-mifflin-harcourt/1116904921?ean=9780618184163" TargetMode="External"/><Relationship Id="rId13" Type="http://schemas.openxmlformats.org/officeDocument/2006/relationships/hyperlink" Target="https://sheg.stanford.edu/zoot-suit-riots" TargetMode="External"/><Relationship Id="rId18" Type="http://schemas.openxmlformats.org/officeDocument/2006/relationships/hyperlink" Target="http://www.nytimes.com/2011/04/17/weekinreview/17BURQA.html?_r=1&amp;" TargetMode="External"/><Relationship Id="rId3" Type="http://schemas.openxmlformats.org/officeDocument/2006/relationships/styles" Target="styles.xml"/><Relationship Id="rId21" Type="http://schemas.openxmlformats.org/officeDocument/2006/relationships/hyperlink" Target="http://www.theguardian.com/world/2014/jul/01/france-burqa-ban-upheld-human-rights-court" TargetMode="External"/><Relationship Id="rId7" Type="http://schemas.openxmlformats.org/officeDocument/2006/relationships/endnotes" Target="endnotes.xml"/><Relationship Id="rId12" Type="http://schemas.openxmlformats.org/officeDocument/2006/relationships/hyperlink" Target="http://janmstore.com/products/stand-up-for-justice-dvd" TargetMode="External"/><Relationship Id="rId17" Type="http://schemas.openxmlformats.org/officeDocument/2006/relationships/hyperlink" Target="http://www.nytimes.com/video/world/europe/100000000769956/tc-041111-france.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onroepadems.com/EasyBlog/the-tea-party-and-nativism-1" TargetMode="External"/><Relationship Id="rId20" Type="http://schemas.openxmlformats.org/officeDocument/2006/relationships/hyperlink" Target="http://www.theguardian.com/world/2013/jul/22/frances-headscarf-war-attack-on-free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omasnastcartoons.com/2014/04/16/nativis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lcenter.org/get-informed/intelligence-report/browse-all-issues/2011/spring/the-year-in-nativism" TargetMode="External"/><Relationship Id="rId23" Type="http://schemas.openxmlformats.org/officeDocument/2006/relationships/fontTable" Target="fontTable.xml"/><Relationship Id="rId10" Type="http://schemas.openxmlformats.org/officeDocument/2006/relationships/hyperlink" Target="http://sheg.stanford.edu/progressive-social-reformers" TargetMode="External"/><Relationship Id="rId19" Type="http://schemas.openxmlformats.org/officeDocument/2006/relationships/hyperlink" Target="http://www.economist.com/blogs/economist-explains/2014/07/economist-explains-2" TargetMode="External"/><Relationship Id="rId4" Type="http://schemas.openxmlformats.org/officeDocument/2006/relationships/settings" Target="settings.xml"/><Relationship Id="rId9" Type="http://schemas.openxmlformats.org/officeDocument/2006/relationships/hyperlink" Target="http://sheg.stanford.edu/chinese-immigration-exclusion" TargetMode="External"/><Relationship Id="rId14" Type="http://schemas.openxmlformats.org/officeDocument/2006/relationships/hyperlink" Target="http://www.thenation.com/article/155641/nativists-get-tea-party-makeover" TargetMode="External"/><Relationship Id="rId22" Type="http://schemas.openxmlformats.org/officeDocument/2006/relationships/hyperlink" Target="http://www.bbc.com/news/world-europe-25118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5026-64A5-41A1-8FFC-82199056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Susan Groff</cp:lastModifiedBy>
  <cp:revision>2</cp:revision>
  <cp:lastPrinted>2014-10-08T17:26:00Z</cp:lastPrinted>
  <dcterms:created xsi:type="dcterms:W3CDTF">2015-10-18T22:16:00Z</dcterms:created>
  <dcterms:modified xsi:type="dcterms:W3CDTF">2015-10-18T22:16:00Z</dcterms:modified>
</cp:coreProperties>
</file>